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17" w:rsidRPr="00E022A0" w:rsidRDefault="00B43317" w:rsidP="00E022A0">
      <w:pPr>
        <w:spacing w:after="0"/>
        <w:jc w:val="center"/>
        <w:rPr>
          <w:rFonts w:cstheme="minorHAnsi"/>
          <w:b/>
        </w:rPr>
      </w:pPr>
      <w:r w:rsidRPr="00E022A0">
        <w:rPr>
          <w:rFonts w:cstheme="minorHAnsi"/>
          <w:b/>
        </w:rPr>
        <w:t>0</w:t>
      </w:r>
      <w:r w:rsidR="00E022A0">
        <w:rPr>
          <w:rFonts w:cstheme="minorHAnsi"/>
          <w:b/>
        </w:rPr>
        <w:t>1d</w:t>
      </w:r>
      <w:r w:rsidR="001C71B3">
        <w:rPr>
          <w:rFonts w:cstheme="minorHAnsi"/>
          <w:b/>
        </w:rPr>
        <w:t>:</w:t>
      </w:r>
      <w:bookmarkStart w:id="0" w:name="_GoBack"/>
      <w:bookmarkEnd w:id="0"/>
      <w:r w:rsidRPr="00E022A0">
        <w:rPr>
          <w:rFonts w:cstheme="minorHAnsi"/>
          <w:b/>
        </w:rPr>
        <w:t xml:space="preserve"> Review of </w:t>
      </w:r>
      <w:r w:rsidR="00CF3B9D" w:rsidRPr="00E022A0">
        <w:rPr>
          <w:rFonts w:cstheme="minorHAnsi"/>
          <w:b/>
        </w:rPr>
        <w:t>Independent Samples t-test</w:t>
      </w:r>
    </w:p>
    <w:p w:rsidR="00CF6F6C" w:rsidRDefault="00CF6F6C" w:rsidP="00E022A0">
      <w:pPr>
        <w:spacing w:after="0"/>
        <w:rPr>
          <w:rFonts w:cstheme="minorHAnsi"/>
          <w:b/>
        </w:rPr>
      </w:pPr>
    </w:p>
    <w:p w:rsidR="00010AD6" w:rsidRPr="00E022A0" w:rsidRDefault="0063630E" w:rsidP="00E022A0">
      <w:pPr>
        <w:spacing w:after="0"/>
        <w:rPr>
          <w:rFonts w:cstheme="minorHAnsi"/>
          <w:b/>
        </w:rPr>
      </w:pPr>
      <w:r>
        <w:rPr>
          <w:rFonts w:cstheme="minorHAnsi"/>
          <w:b/>
        </w:rPr>
        <w:t>1</w:t>
      </w:r>
      <w:r w:rsidR="00E853EC" w:rsidRPr="00E022A0">
        <w:rPr>
          <w:rFonts w:cstheme="minorHAnsi"/>
          <w:b/>
        </w:rPr>
        <w:t xml:space="preserve">. </w:t>
      </w:r>
      <w:r w:rsidR="00010AD6" w:rsidRPr="00E022A0">
        <w:rPr>
          <w:rFonts w:cstheme="minorHAnsi"/>
          <w:b/>
        </w:rPr>
        <w:t>Characteristics</w:t>
      </w:r>
      <w:r>
        <w:rPr>
          <w:rFonts w:cstheme="minorHAnsi"/>
          <w:b/>
        </w:rPr>
        <w:t xml:space="preserve"> of Independent Samples t-test</w:t>
      </w:r>
    </w:p>
    <w:p w:rsidR="00010AD6" w:rsidRPr="00E022A0" w:rsidRDefault="00010AD6" w:rsidP="00E022A0">
      <w:pPr>
        <w:pStyle w:val="ListParagraph"/>
        <w:numPr>
          <w:ilvl w:val="0"/>
          <w:numId w:val="3"/>
        </w:numPr>
        <w:spacing w:after="0"/>
        <w:rPr>
          <w:rFonts w:cstheme="minorHAnsi"/>
        </w:rPr>
      </w:pPr>
      <w:r w:rsidRPr="00E022A0">
        <w:rPr>
          <w:rFonts w:cstheme="minorHAnsi"/>
        </w:rPr>
        <w:t>used to compare two groups on a quantitative dependent variable</w:t>
      </w:r>
    </w:p>
    <w:p w:rsidR="0063630E" w:rsidRDefault="00010AD6" w:rsidP="00E022A0">
      <w:pPr>
        <w:pStyle w:val="ListParagraph"/>
        <w:numPr>
          <w:ilvl w:val="0"/>
          <w:numId w:val="3"/>
        </w:numPr>
        <w:spacing w:after="0"/>
        <w:rPr>
          <w:rFonts w:cstheme="minorHAnsi"/>
        </w:rPr>
      </w:pPr>
      <w:r w:rsidRPr="00E022A0">
        <w:rPr>
          <w:rFonts w:cstheme="minorHAnsi"/>
        </w:rPr>
        <w:t>IV = categorical (nominal) variable with two groups, DV = quantitative variable</w:t>
      </w:r>
      <w:r w:rsidR="0063630E">
        <w:rPr>
          <w:rFonts w:cstheme="minorHAnsi"/>
        </w:rPr>
        <w:t xml:space="preserve">, </w:t>
      </w:r>
      <w:r w:rsidRPr="00E022A0">
        <w:rPr>
          <w:rFonts w:cstheme="minorHAnsi"/>
        </w:rPr>
        <w:t xml:space="preserve">examples </w:t>
      </w:r>
    </w:p>
    <w:p w:rsidR="0063630E" w:rsidRDefault="00010AD6" w:rsidP="0063630E">
      <w:pPr>
        <w:pStyle w:val="ListParagraph"/>
        <w:numPr>
          <w:ilvl w:val="1"/>
          <w:numId w:val="3"/>
        </w:numPr>
        <w:spacing w:after="0"/>
        <w:rPr>
          <w:rFonts w:cstheme="minorHAnsi"/>
        </w:rPr>
      </w:pPr>
      <w:r w:rsidRPr="00E022A0">
        <w:rPr>
          <w:rFonts w:cstheme="minorHAnsi"/>
        </w:rPr>
        <w:t xml:space="preserve">IV = sex, DV = math scores </w:t>
      </w:r>
    </w:p>
    <w:p w:rsidR="00010AD6" w:rsidRPr="00E022A0" w:rsidRDefault="00010AD6" w:rsidP="0063630E">
      <w:pPr>
        <w:pStyle w:val="ListParagraph"/>
        <w:numPr>
          <w:ilvl w:val="1"/>
          <w:numId w:val="3"/>
        </w:numPr>
        <w:spacing w:after="0"/>
        <w:rPr>
          <w:rFonts w:cstheme="minorHAnsi"/>
        </w:rPr>
      </w:pPr>
      <w:r w:rsidRPr="00E022A0">
        <w:rPr>
          <w:rFonts w:cstheme="minorHAnsi"/>
        </w:rPr>
        <w:t xml:space="preserve">IV = </w:t>
      </w:r>
      <w:r w:rsidR="00576B6B" w:rsidRPr="00E022A0">
        <w:rPr>
          <w:rFonts w:cstheme="minorHAnsi"/>
        </w:rPr>
        <w:t>location</w:t>
      </w:r>
      <w:r w:rsidRPr="00E022A0">
        <w:rPr>
          <w:rFonts w:cstheme="minorHAnsi"/>
        </w:rPr>
        <w:t xml:space="preserve"> of instruction [on-line vs on campus], DV = level of confidence in class</w:t>
      </w:r>
    </w:p>
    <w:p w:rsidR="00010AD6" w:rsidRPr="00E022A0" w:rsidRDefault="00010AD6" w:rsidP="00E022A0">
      <w:pPr>
        <w:pStyle w:val="ListParagraph"/>
        <w:numPr>
          <w:ilvl w:val="0"/>
          <w:numId w:val="3"/>
        </w:numPr>
        <w:spacing w:after="0"/>
        <w:rPr>
          <w:rFonts w:cstheme="minorHAnsi"/>
        </w:rPr>
      </w:pPr>
      <w:r w:rsidRPr="00E022A0">
        <w:rPr>
          <w:rFonts w:cstheme="minorHAnsi"/>
        </w:rPr>
        <w:t>t-ratio is formed by comparing group mean differences on the dependent variable (compare mean math scores between males and females)</w:t>
      </w:r>
      <w:r w:rsidR="00472C6A" w:rsidRPr="00E022A0">
        <w:rPr>
          <w:rFonts w:cstheme="minorHAnsi"/>
        </w:rPr>
        <w:t>, and this mean difference is divided by a standard error of that difference</w:t>
      </w:r>
    </w:p>
    <w:p w:rsidR="00010AD6" w:rsidRPr="00E022A0" w:rsidRDefault="00010AD6" w:rsidP="00E022A0">
      <w:pPr>
        <w:pStyle w:val="ListParagraph"/>
        <w:numPr>
          <w:ilvl w:val="0"/>
          <w:numId w:val="3"/>
        </w:numPr>
        <w:spacing w:after="0"/>
        <w:rPr>
          <w:rFonts w:cstheme="minorHAnsi"/>
        </w:rPr>
      </w:pPr>
      <w:r w:rsidRPr="00E022A0">
        <w:rPr>
          <w:rFonts w:cstheme="minorHAnsi"/>
        </w:rPr>
        <w:t>the larger the t-ratio</w:t>
      </w:r>
      <w:r w:rsidR="002108DB" w:rsidRPr="00E022A0">
        <w:rPr>
          <w:rFonts w:cstheme="minorHAnsi"/>
        </w:rPr>
        <w:t xml:space="preserve"> (in absolute value)</w:t>
      </w:r>
      <w:r w:rsidRPr="00E022A0">
        <w:rPr>
          <w:rFonts w:cstheme="minorHAnsi"/>
        </w:rPr>
        <w:t>, the more evidence that groups differ</w:t>
      </w:r>
    </w:p>
    <w:p w:rsidR="00010AD6" w:rsidRPr="00E022A0" w:rsidRDefault="00010AD6" w:rsidP="00E022A0">
      <w:pPr>
        <w:spacing w:after="0"/>
        <w:rPr>
          <w:rFonts w:cstheme="minorHAnsi"/>
        </w:rPr>
      </w:pPr>
    </w:p>
    <w:p w:rsidR="004B1595" w:rsidRPr="00E022A0" w:rsidRDefault="00E853EC" w:rsidP="00E022A0">
      <w:pPr>
        <w:spacing w:after="0"/>
        <w:rPr>
          <w:rFonts w:cstheme="minorHAnsi"/>
          <w:b/>
        </w:rPr>
      </w:pPr>
      <w:r w:rsidRPr="00E022A0">
        <w:rPr>
          <w:rFonts w:cstheme="minorHAnsi"/>
          <w:b/>
        </w:rPr>
        <w:t xml:space="preserve">2. </w:t>
      </w:r>
      <w:r w:rsidR="004B1595" w:rsidRPr="00E022A0">
        <w:rPr>
          <w:rFonts w:cstheme="minorHAnsi"/>
          <w:b/>
        </w:rPr>
        <w:t xml:space="preserve">Reading t-test Results </w:t>
      </w:r>
    </w:p>
    <w:p w:rsidR="004B1595" w:rsidRDefault="00990E98" w:rsidP="00AE5BA9">
      <w:pPr>
        <w:spacing w:after="0"/>
        <w:ind w:left="720"/>
        <w:rPr>
          <w:rFonts w:cstheme="minorHAnsi"/>
        </w:rPr>
      </w:pPr>
      <w:r>
        <w:rPr>
          <w:rFonts w:cstheme="minorHAnsi"/>
        </w:rPr>
        <w:t>Below is an</w:t>
      </w:r>
      <w:r w:rsidR="00AE5BA9">
        <w:rPr>
          <w:rFonts w:cstheme="minorHAnsi"/>
        </w:rPr>
        <w:t xml:space="preserve"> example of published t-test results. </w:t>
      </w:r>
    </w:p>
    <w:p w:rsidR="00990E98" w:rsidRDefault="00990E98" w:rsidP="00AE5BA9">
      <w:pPr>
        <w:spacing w:after="0"/>
        <w:ind w:left="720"/>
        <w:rPr>
          <w:rFonts w:cstheme="minorHAnsi"/>
        </w:rPr>
      </w:pPr>
    </w:p>
    <w:p w:rsidR="004B1595" w:rsidRPr="00E022A0" w:rsidRDefault="00990E98" w:rsidP="00AE5BA9">
      <w:pPr>
        <w:spacing w:after="0"/>
        <w:ind w:left="720"/>
        <w:rPr>
          <w:rFonts w:cstheme="minorHAnsi"/>
        </w:rPr>
      </w:pPr>
      <w:r>
        <w:rPr>
          <w:rFonts w:cstheme="minorHAnsi"/>
        </w:rPr>
        <w:t xml:space="preserve">Source: </w:t>
      </w:r>
      <w:r w:rsidR="004B1595" w:rsidRPr="00E022A0">
        <w:rPr>
          <w:rFonts w:cstheme="minorHAnsi"/>
        </w:rPr>
        <w:t xml:space="preserve">Goodman et al. (2005). Mother expectation of bother and infant attachment behaviors as </w:t>
      </w:r>
      <w:r w:rsidR="00D32916">
        <w:rPr>
          <w:rFonts w:cstheme="minorHAnsi"/>
        </w:rPr>
        <w:t>predictors</w:t>
      </w:r>
      <w:r w:rsidR="004B1595" w:rsidRPr="00E022A0">
        <w:rPr>
          <w:rFonts w:cstheme="minorHAnsi"/>
        </w:rPr>
        <w:t xml:space="preserve"> of method and child communication at 24 months in children of methadone-maintained women. Infant </w:t>
      </w:r>
      <w:r w:rsidR="00DE3896" w:rsidRPr="00E022A0">
        <w:rPr>
          <w:rFonts w:cstheme="minorHAnsi"/>
        </w:rPr>
        <w:t>M</w:t>
      </w:r>
      <w:r w:rsidR="004B1595" w:rsidRPr="00E022A0">
        <w:rPr>
          <w:rFonts w:cstheme="minorHAnsi"/>
        </w:rPr>
        <w:t xml:space="preserve">ental </w:t>
      </w:r>
      <w:r w:rsidR="00DE3896" w:rsidRPr="00E022A0">
        <w:rPr>
          <w:rFonts w:cstheme="minorHAnsi"/>
        </w:rPr>
        <w:t>H</w:t>
      </w:r>
      <w:r w:rsidR="004B1595" w:rsidRPr="00E022A0">
        <w:rPr>
          <w:rFonts w:cstheme="minorHAnsi"/>
        </w:rPr>
        <w:t xml:space="preserve">ealth </w:t>
      </w:r>
      <w:r w:rsidR="00DE3896" w:rsidRPr="00E022A0">
        <w:rPr>
          <w:rFonts w:cstheme="minorHAnsi"/>
        </w:rPr>
        <w:t>J</w:t>
      </w:r>
      <w:r w:rsidR="004B1595" w:rsidRPr="00E022A0">
        <w:rPr>
          <w:rFonts w:cstheme="minorHAnsi"/>
        </w:rPr>
        <w:t>ournal, 26, 549-569.</w:t>
      </w:r>
    </w:p>
    <w:p w:rsidR="004B1595" w:rsidRPr="00E022A0" w:rsidRDefault="004B1595" w:rsidP="00E022A0">
      <w:pPr>
        <w:spacing w:after="0"/>
        <w:rPr>
          <w:rFonts w:cstheme="minorHAnsi"/>
        </w:rPr>
      </w:pPr>
    </w:p>
    <w:p w:rsidR="004B1595" w:rsidRPr="00E022A0" w:rsidRDefault="002E4EAD" w:rsidP="00177FBC">
      <w:pPr>
        <w:spacing w:after="0"/>
        <w:ind w:left="720"/>
        <w:rPr>
          <w:rFonts w:cstheme="minorHAnsi"/>
        </w:rPr>
      </w:pPr>
      <w:r w:rsidRPr="00E022A0">
        <w:rPr>
          <w:rFonts w:cstheme="minorHAnsi"/>
          <w:noProof/>
        </w:rPr>
        <w:drawing>
          <wp:inline distT="0" distB="0" distL="0" distR="0" wp14:anchorId="4EB10119" wp14:editId="1B02C17B">
            <wp:extent cx="6059802" cy="48640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67151" cy="4869926"/>
                    </a:xfrm>
                    <a:prstGeom prst="rect">
                      <a:avLst/>
                    </a:prstGeom>
                  </pic:spPr>
                </pic:pic>
              </a:graphicData>
            </a:graphic>
          </wp:inline>
        </w:drawing>
      </w:r>
    </w:p>
    <w:p w:rsidR="004B1595" w:rsidRDefault="004B1595" w:rsidP="00E022A0">
      <w:pPr>
        <w:spacing w:after="0"/>
        <w:rPr>
          <w:rFonts w:cstheme="minorHAnsi"/>
        </w:rPr>
      </w:pPr>
    </w:p>
    <w:p w:rsidR="00D026B5" w:rsidRDefault="00D026B5" w:rsidP="00E022A0">
      <w:pPr>
        <w:spacing w:after="0"/>
        <w:rPr>
          <w:rFonts w:cstheme="minorHAnsi"/>
        </w:rPr>
      </w:pPr>
    </w:p>
    <w:p w:rsidR="00767F36" w:rsidRDefault="00767F36" w:rsidP="0004053C">
      <w:pPr>
        <w:spacing w:after="0"/>
        <w:ind w:left="720"/>
        <w:rPr>
          <w:rFonts w:cstheme="minorHAnsi"/>
        </w:rPr>
      </w:pPr>
      <w:r>
        <w:rPr>
          <w:rFonts w:cstheme="minorHAnsi"/>
        </w:rPr>
        <w:lastRenderedPageBreak/>
        <w:t xml:space="preserve">What is the mean difference in WAIS IQ between mothers on Methadone and the comparison group? Is this mean difference statistically significant? Interpret this result. </w:t>
      </w:r>
    </w:p>
    <w:p w:rsidR="00767F36" w:rsidRDefault="00767F36" w:rsidP="00E022A0">
      <w:pPr>
        <w:spacing w:after="0"/>
        <w:rPr>
          <w:rFonts w:cstheme="minorHAnsi"/>
        </w:rPr>
      </w:pPr>
    </w:p>
    <w:p w:rsidR="00767F36" w:rsidRDefault="00767F36" w:rsidP="0004053C">
      <w:pPr>
        <w:spacing w:after="0"/>
        <w:ind w:left="1440"/>
        <w:rPr>
          <w:rFonts w:cstheme="minorHAnsi"/>
        </w:rPr>
      </w:pPr>
      <w:r w:rsidRPr="00767F36">
        <w:rPr>
          <w:rFonts w:cstheme="minorHAnsi"/>
          <w:highlight w:val="yellow"/>
        </w:rPr>
        <w:t>Answer</w:t>
      </w:r>
      <w:r>
        <w:rPr>
          <w:rFonts w:cstheme="minorHAnsi"/>
        </w:rPr>
        <w:t xml:space="preserve">: </w:t>
      </w:r>
    </w:p>
    <w:p w:rsidR="00767F36" w:rsidRDefault="00767F36" w:rsidP="0004053C">
      <w:pPr>
        <w:pStyle w:val="ListParagraph"/>
        <w:numPr>
          <w:ilvl w:val="0"/>
          <w:numId w:val="4"/>
        </w:numPr>
        <w:spacing w:after="0"/>
        <w:ind w:left="2160"/>
        <w:rPr>
          <w:rFonts w:cstheme="minorHAnsi"/>
        </w:rPr>
      </w:pPr>
      <w:r>
        <w:rPr>
          <w:rFonts w:cstheme="minorHAnsi"/>
        </w:rPr>
        <w:t xml:space="preserve">Mean difference: </w:t>
      </w:r>
      <w:r w:rsidRPr="00767F36">
        <w:rPr>
          <w:rFonts w:cstheme="minorHAnsi"/>
        </w:rPr>
        <w:t xml:space="preserve">Methadone mothers WAIS IQ mean = 88.43 and the comparison group IQ mean = 89.43 for a difference of 88.43 - 89.43 = -1. </w:t>
      </w:r>
    </w:p>
    <w:p w:rsidR="00767F36" w:rsidRDefault="00767F36" w:rsidP="0004053C">
      <w:pPr>
        <w:pStyle w:val="ListParagraph"/>
        <w:numPr>
          <w:ilvl w:val="0"/>
          <w:numId w:val="4"/>
        </w:numPr>
        <w:spacing w:after="0"/>
        <w:ind w:left="2160"/>
        <w:rPr>
          <w:rFonts w:cstheme="minorHAnsi"/>
        </w:rPr>
      </w:pPr>
      <w:r>
        <w:rPr>
          <w:rFonts w:cstheme="minorHAnsi"/>
        </w:rPr>
        <w:t>Statistical Significance: T</w:t>
      </w:r>
      <w:r w:rsidRPr="00767F36">
        <w:rPr>
          <w:rFonts w:cstheme="minorHAnsi"/>
        </w:rPr>
        <w:t>his mean difference is</w:t>
      </w:r>
      <w:r>
        <w:rPr>
          <w:rFonts w:cstheme="minorHAnsi"/>
        </w:rPr>
        <w:t xml:space="preserve"> not statistically significant (t-ratio = 0.38 with no asterisks indicating a significant difference).</w:t>
      </w:r>
    </w:p>
    <w:p w:rsidR="00767F36" w:rsidRPr="00767F36" w:rsidRDefault="00767F36" w:rsidP="0004053C">
      <w:pPr>
        <w:pStyle w:val="ListParagraph"/>
        <w:numPr>
          <w:ilvl w:val="0"/>
          <w:numId w:val="4"/>
        </w:numPr>
        <w:spacing w:after="0"/>
        <w:ind w:left="2160"/>
        <w:rPr>
          <w:rFonts w:cstheme="minorHAnsi"/>
        </w:rPr>
      </w:pPr>
      <w:r>
        <w:rPr>
          <w:rFonts w:cstheme="minorHAnsi"/>
        </w:rPr>
        <w:t xml:space="preserve">Interpretation: Results of the t-test indicate no statistical difference in WAIS IQ means between Methadone and comparison mothers. </w:t>
      </w:r>
    </w:p>
    <w:p w:rsidR="00767F36" w:rsidRDefault="00767F36" w:rsidP="00E022A0">
      <w:pPr>
        <w:spacing w:after="0"/>
        <w:rPr>
          <w:rFonts w:cstheme="minorHAnsi"/>
        </w:rPr>
      </w:pPr>
    </w:p>
    <w:p w:rsidR="00767F36" w:rsidRDefault="00FF27E6" w:rsidP="00ED21D0">
      <w:pPr>
        <w:spacing w:after="0"/>
        <w:ind w:left="720"/>
        <w:rPr>
          <w:rFonts w:cstheme="minorHAnsi"/>
        </w:rPr>
      </w:pPr>
      <w:r>
        <w:rPr>
          <w:rFonts w:cstheme="minorHAnsi"/>
        </w:rPr>
        <w:t>What are the mean scores for expectation of bother between mothers on Methadone and the comparison group? Is this mean difference statistically significant? Interpret this result.</w:t>
      </w:r>
    </w:p>
    <w:p w:rsidR="00767F36" w:rsidRDefault="00767F36" w:rsidP="00E022A0">
      <w:pPr>
        <w:spacing w:after="0"/>
        <w:rPr>
          <w:rFonts w:cstheme="minorHAnsi"/>
        </w:rPr>
      </w:pPr>
    </w:p>
    <w:p w:rsidR="00FF27E6" w:rsidRDefault="00FF27E6" w:rsidP="00FF27E6">
      <w:pPr>
        <w:spacing w:after="0"/>
        <w:ind w:left="1440"/>
        <w:rPr>
          <w:rFonts w:cstheme="minorHAnsi"/>
        </w:rPr>
      </w:pPr>
      <w:r w:rsidRPr="00767F36">
        <w:rPr>
          <w:rFonts w:cstheme="minorHAnsi"/>
          <w:highlight w:val="yellow"/>
        </w:rPr>
        <w:t>Answer</w:t>
      </w:r>
      <w:r>
        <w:rPr>
          <w:rFonts w:cstheme="minorHAnsi"/>
        </w:rPr>
        <w:t xml:space="preserve">: </w:t>
      </w:r>
    </w:p>
    <w:p w:rsidR="00FF27E6" w:rsidRDefault="00FF27E6" w:rsidP="00FF27E6">
      <w:pPr>
        <w:pStyle w:val="ListParagraph"/>
        <w:numPr>
          <w:ilvl w:val="0"/>
          <w:numId w:val="4"/>
        </w:numPr>
        <w:spacing w:after="0"/>
        <w:ind w:left="2160"/>
        <w:rPr>
          <w:rFonts w:cstheme="minorHAnsi"/>
        </w:rPr>
      </w:pPr>
      <w:r>
        <w:rPr>
          <w:rFonts w:cstheme="minorHAnsi"/>
        </w:rPr>
        <w:t xml:space="preserve">Means: </w:t>
      </w:r>
      <w:r w:rsidRPr="00767F36">
        <w:rPr>
          <w:rFonts w:cstheme="minorHAnsi"/>
        </w:rPr>
        <w:t xml:space="preserve">Methadone mothers </w:t>
      </w:r>
      <w:r>
        <w:rPr>
          <w:rFonts w:cstheme="minorHAnsi"/>
        </w:rPr>
        <w:t>expectation of bother mean</w:t>
      </w:r>
      <w:r w:rsidRPr="00767F36">
        <w:rPr>
          <w:rFonts w:cstheme="minorHAnsi"/>
        </w:rPr>
        <w:t xml:space="preserve"> =</w:t>
      </w:r>
      <w:r>
        <w:rPr>
          <w:rFonts w:cstheme="minorHAnsi"/>
        </w:rPr>
        <w:t xml:space="preserve">15.35 and </w:t>
      </w:r>
      <w:r w:rsidRPr="00767F36">
        <w:rPr>
          <w:rFonts w:cstheme="minorHAnsi"/>
        </w:rPr>
        <w:t xml:space="preserve">the comparison group </w:t>
      </w:r>
      <w:r>
        <w:rPr>
          <w:rFonts w:cstheme="minorHAnsi"/>
        </w:rPr>
        <w:t xml:space="preserve">expectation of bother </w:t>
      </w:r>
      <w:r w:rsidRPr="00767F36">
        <w:rPr>
          <w:rFonts w:cstheme="minorHAnsi"/>
        </w:rPr>
        <w:t xml:space="preserve">mean = </w:t>
      </w:r>
      <w:r>
        <w:rPr>
          <w:rFonts w:cstheme="minorHAnsi"/>
        </w:rPr>
        <w:t>11.75</w:t>
      </w:r>
      <w:r w:rsidRPr="00767F36">
        <w:rPr>
          <w:rFonts w:cstheme="minorHAnsi"/>
        </w:rPr>
        <w:t xml:space="preserve"> for a difference of </w:t>
      </w:r>
      <w:r>
        <w:rPr>
          <w:rFonts w:cstheme="minorHAnsi"/>
        </w:rPr>
        <w:t xml:space="preserve">3.6 points. </w:t>
      </w:r>
      <w:r w:rsidRPr="00767F36">
        <w:rPr>
          <w:rFonts w:cstheme="minorHAnsi"/>
        </w:rPr>
        <w:t xml:space="preserve"> </w:t>
      </w:r>
    </w:p>
    <w:p w:rsidR="00FF27E6" w:rsidRDefault="00FF27E6" w:rsidP="00FF27E6">
      <w:pPr>
        <w:pStyle w:val="ListParagraph"/>
        <w:numPr>
          <w:ilvl w:val="0"/>
          <w:numId w:val="4"/>
        </w:numPr>
        <w:spacing w:after="0"/>
        <w:ind w:left="2160"/>
        <w:rPr>
          <w:rFonts w:cstheme="minorHAnsi"/>
        </w:rPr>
      </w:pPr>
      <w:r>
        <w:rPr>
          <w:rFonts w:cstheme="minorHAnsi"/>
        </w:rPr>
        <w:t>Statistical Significance: T</w:t>
      </w:r>
      <w:r w:rsidRPr="00767F36">
        <w:rPr>
          <w:rFonts w:cstheme="minorHAnsi"/>
        </w:rPr>
        <w:t>his mean difference is</w:t>
      </w:r>
      <w:r>
        <w:rPr>
          <w:rFonts w:cstheme="minorHAnsi"/>
        </w:rPr>
        <w:t xml:space="preserve"> statistically significant (t-ratio = 3.26* with an asterisk indicating a significant difference).</w:t>
      </w:r>
    </w:p>
    <w:p w:rsidR="00FF27E6" w:rsidRPr="00767F36" w:rsidRDefault="00FF27E6" w:rsidP="00FF27E6">
      <w:pPr>
        <w:pStyle w:val="ListParagraph"/>
        <w:numPr>
          <w:ilvl w:val="0"/>
          <w:numId w:val="4"/>
        </w:numPr>
        <w:spacing w:after="0"/>
        <w:ind w:left="2160"/>
        <w:rPr>
          <w:rFonts w:cstheme="minorHAnsi"/>
        </w:rPr>
      </w:pPr>
      <w:r>
        <w:rPr>
          <w:rFonts w:cstheme="minorHAnsi"/>
        </w:rPr>
        <w:t xml:space="preserve">Interpretation: </w:t>
      </w:r>
      <w:r w:rsidR="00D71E3F">
        <w:rPr>
          <w:rFonts w:cstheme="minorHAnsi"/>
        </w:rPr>
        <w:t xml:space="preserve">Mothers on Methadone had a higher level of expectation of bother than the comparison mothers. This means those on Methadone expect their children to be more of a bother day-to-day than the comparison mothers. </w:t>
      </w:r>
      <w:r>
        <w:rPr>
          <w:rFonts w:cstheme="minorHAnsi"/>
        </w:rPr>
        <w:t xml:space="preserve"> </w:t>
      </w:r>
    </w:p>
    <w:p w:rsidR="00FF27E6" w:rsidRDefault="00FF27E6" w:rsidP="00E022A0">
      <w:pPr>
        <w:spacing w:after="0"/>
        <w:rPr>
          <w:rFonts w:cstheme="minorHAnsi"/>
        </w:rPr>
      </w:pPr>
    </w:p>
    <w:p w:rsidR="00010AD6" w:rsidRPr="00E022A0" w:rsidRDefault="00BC2578" w:rsidP="00E022A0">
      <w:pPr>
        <w:spacing w:after="0"/>
        <w:rPr>
          <w:rFonts w:cstheme="minorHAnsi"/>
          <w:b/>
        </w:rPr>
      </w:pPr>
      <w:r>
        <w:rPr>
          <w:rFonts w:cstheme="minorHAnsi"/>
          <w:b/>
        </w:rPr>
        <w:t>3</w:t>
      </w:r>
      <w:r w:rsidR="008C4DAA" w:rsidRPr="00E022A0">
        <w:rPr>
          <w:rFonts w:cstheme="minorHAnsi"/>
          <w:b/>
        </w:rPr>
        <w:t xml:space="preserve">. </w:t>
      </w:r>
      <w:r w:rsidR="00010AD6" w:rsidRPr="00E022A0">
        <w:rPr>
          <w:rFonts w:cstheme="minorHAnsi"/>
          <w:b/>
        </w:rPr>
        <w:t>Worked Example</w:t>
      </w:r>
    </w:p>
    <w:p w:rsidR="00010AD6" w:rsidRPr="00E022A0" w:rsidRDefault="00010AD6" w:rsidP="003F4DAE">
      <w:pPr>
        <w:spacing w:after="0"/>
        <w:ind w:left="720"/>
        <w:rPr>
          <w:rFonts w:cstheme="minorHAnsi"/>
        </w:rPr>
      </w:pPr>
      <w:r w:rsidRPr="00E022A0">
        <w:rPr>
          <w:rFonts w:cstheme="minorHAnsi"/>
        </w:rPr>
        <w:t xml:space="preserve">Is there a change in mean heart rate per minute before and after taking blood pressure medication for a single individual? Below are data </w:t>
      </w:r>
      <w:r w:rsidR="00021972">
        <w:rPr>
          <w:rFonts w:cstheme="minorHAnsi"/>
        </w:rPr>
        <w:t>I recorded during four-week period, two weeks before and two weeks after taking blood pressure medication. Is there a difference in my heart rate for these two periods?</w:t>
      </w:r>
    </w:p>
    <w:p w:rsidR="00010AD6" w:rsidRPr="00E022A0" w:rsidRDefault="00010AD6" w:rsidP="003F4DAE">
      <w:pPr>
        <w:spacing w:after="0"/>
        <w:ind w:left="720"/>
        <w:rPr>
          <w:rFonts w:cstheme="minorHAnsi"/>
        </w:rPr>
      </w:pPr>
    </w:p>
    <w:tbl>
      <w:tblPr>
        <w:tblW w:w="4800" w:type="dxa"/>
        <w:tblInd w:w="813" w:type="dxa"/>
        <w:tblLook w:val="04A0" w:firstRow="1" w:lastRow="0" w:firstColumn="1" w:lastColumn="0" w:noHBand="0" w:noVBand="1"/>
      </w:tblPr>
      <w:tblGrid>
        <w:gridCol w:w="915"/>
        <w:gridCol w:w="1005"/>
        <w:gridCol w:w="960"/>
        <w:gridCol w:w="1005"/>
        <w:gridCol w:w="915"/>
      </w:tblGrid>
      <w:tr w:rsidR="00010AD6" w:rsidRPr="00E022A0" w:rsidTr="003F4DAE">
        <w:trPr>
          <w:trHeight w:val="375"/>
        </w:trPr>
        <w:tc>
          <w:tcPr>
            <w:tcW w:w="1920" w:type="dxa"/>
            <w:gridSpan w:val="2"/>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Heart Rate</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920" w:type="dxa"/>
            <w:gridSpan w:val="2"/>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Heart Rate</w:t>
            </w:r>
          </w:p>
        </w:tc>
      </w:tr>
      <w:tr w:rsidR="00010AD6" w:rsidRPr="00E022A0" w:rsidTr="003F4DAE">
        <w:trPr>
          <w:trHeight w:val="375"/>
        </w:trPr>
        <w:tc>
          <w:tcPr>
            <w:tcW w:w="1920" w:type="dxa"/>
            <w:gridSpan w:val="2"/>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After</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920" w:type="dxa"/>
            <w:gridSpan w:val="2"/>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Before</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50</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62</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57</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59</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50</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57</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58</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57</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48</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49</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56</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53</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49</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47</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55</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63</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44</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54</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55</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54</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49</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48</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53</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51</w:t>
            </w:r>
          </w:p>
        </w:tc>
      </w:tr>
      <w:tr w:rsidR="00010AD6" w:rsidRPr="00E022A0" w:rsidTr="003F4DAE">
        <w:trPr>
          <w:trHeight w:val="375"/>
        </w:trPr>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45</w:t>
            </w: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44</w:t>
            </w:r>
          </w:p>
        </w:tc>
        <w:tc>
          <w:tcPr>
            <w:tcW w:w="960" w:type="dxa"/>
            <w:tcBorders>
              <w:top w:val="nil"/>
              <w:left w:val="nil"/>
              <w:bottom w:val="nil"/>
              <w:right w:val="nil"/>
            </w:tcBorders>
            <w:shd w:val="clear" w:color="auto" w:fill="auto"/>
            <w:noWrap/>
            <w:vAlign w:val="bottom"/>
            <w:hideMark/>
          </w:tcPr>
          <w:p w:rsidR="00010AD6" w:rsidRPr="00E022A0" w:rsidRDefault="00010AD6" w:rsidP="00E022A0">
            <w:pPr>
              <w:spacing w:after="0"/>
              <w:rPr>
                <w:rFonts w:eastAsia="Times New Roman" w:cstheme="minorHAnsi"/>
                <w:color w:val="000000"/>
              </w:rPr>
            </w:pPr>
          </w:p>
        </w:tc>
        <w:tc>
          <w:tcPr>
            <w:tcW w:w="100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53</w:t>
            </w:r>
          </w:p>
        </w:tc>
        <w:tc>
          <w:tcPr>
            <w:tcW w:w="915" w:type="dxa"/>
            <w:tcBorders>
              <w:top w:val="nil"/>
              <w:left w:val="nil"/>
              <w:bottom w:val="nil"/>
              <w:right w:val="nil"/>
            </w:tcBorders>
            <w:shd w:val="clear" w:color="auto" w:fill="auto"/>
            <w:noWrap/>
            <w:vAlign w:val="bottom"/>
            <w:hideMark/>
          </w:tcPr>
          <w:p w:rsidR="00010AD6" w:rsidRPr="00E022A0" w:rsidRDefault="00010AD6" w:rsidP="00E022A0">
            <w:pPr>
              <w:spacing w:after="0"/>
              <w:jc w:val="center"/>
              <w:rPr>
                <w:rFonts w:eastAsia="Times New Roman" w:cstheme="minorHAnsi"/>
                <w:color w:val="000000"/>
              </w:rPr>
            </w:pPr>
            <w:r w:rsidRPr="00E022A0">
              <w:rPr>
                <w:rFonts w:eastAsia="Times New Roman" w:cstheme="minorHAnsi"/>
                <w:color w:val="000000"/>
              </w:rPr>
              <w:t>51</w:t>
            </w:r>
          </w:p>
        </w:tc>
      </w:tr>
    </w:tbl>
    <w:p w:rsidR="00010AD6" w:rsidRPr="00E022A0" w:rsidRDefault="00010AD6" w:rsidP="00E022A0">
      <w:pPr>
        <w:spacing w:after="0"/>
        <w:rPr>
          <w:rFonts w:eastAsia="Times New Roman" w:cstheme="minorHAnsi"/>
          <w:color w:val="000000"/>
        </w:rPr>
      </w:pPr>
    </w:p>
    <w:p w:rsidR="0089479D" w:rsidRDefault="00CD1454" w:rsidP="00CD1454">
      <w:pPr>
        <w:spacing w:after="0"/>
        <w:ind w:left="720"/>
        <w:rPr>
          <w:rFonts w:cstheme="minorHAnsi"/>
        </w:rPr>
      </w:pPr>
      <w:r>
        <w:rPr>
          <w:rFonts w:cstheme="minorHAnsi"/>
        </w:rPr>
        <w:t xml:space="preserve">The data can also be downloaded in an SPSS file from this link. </w:t>
      </w:r>
    </w:p>
    <w:p w:rsidR="00CD1454" w:rsidRPr="00E022A0" w:rsidRDefault="00CD1454" w:rsidP="00E022A0">
      <w:pPr>
        <w:spacing w:after="0"/>
        <w:rPr>
          <w:rFonts w:cstheme="minorHAnsi"/>
        </w:rPr>
      </w:pPr>
    </w:p>
    <w:p w:rsidR="00010AD6" w:rsidRPr="00E022A0" w:rsidRDefault="00034E6B" w:rsidP="00CD1454">
      <w:pPr>
        <w:spacing w:after="0"/>
        <w:ind w:left="1440"/>
        <w:rPr>
          <w:rFonts w:cstheme="minorHAnsi"/>
        </w:rPr>
      </w:pPr>
      <w:hyperlink r:id="rId9" w:history="1">
        <w:r w:rsidR="00CD1454" w:rsidRPr="00643FE6">
          <w:rPr>
            <w:rStyle w:val="Hyperlink"/>
            <w:rFonts w:cstheme="minorHAnsi"/>
          </w:rPr>
          <w:t>http://www.bwgriffin.com/gsu/courses/edur8131/data/heartrate.sav</w:t>
        </w:r>
      </w:hyperlink>
      <w:r w:rsidR="00CD1454">
        <w:rPr>
          <w:rFonts w:cstheme="minorHAnsi"/>
        </w:rPr>
        <w:t xml:space="preserve"> </w:t>
      </w:r>
    </w:p>
    <w:p w:rsidR="0089479D" w:rsidRDefault="0089479D" w:rsidP="00E022A0">
      <w:pPr>
        <w:spacing w:after="0"/>
        <w:rPr>
          <w:rFonts w:cstheme="minorHAnsi"/>
        </w:rPr>
      </w:pPr>
    </w:p>
    <w:p w:rsidR="00973C30" w:rsidRPr="009A4AD4" w:rsidRDefault="009A4AD4" w:rsidP="009E7D38">
      <w:pPr>
        <w:spacing w:after="0"/>
        <w:rPr>
          <w:rFonts w:cstheme="minorHAnsi"/>
          <w:b/>
          <w:noProof/>
        </w:rPr>
      </w:pPr>
      <w:r w:rsidRPr="009A4AD4">
        <w:rPr>
          <w:rFonts w:cstheme="minorHAnsi"/>
          <w:b/>
          <w:noProof/>
        </w:rPr>
        <w:lastRenderedPageBreak/>
        <w:t>Using SPSS</w:t>
      </w:r>
    </w:p>
    <w:p w:rsidR="009A4AD4" w:rsidRDefault="009A4AD4" w:rsidP="009E7D38">
      <w:pPr>
        <w:spacing w:after="0"/>
        <w:rPr>
          <w:rFonts w:cstheme="minorHAnsi"/>
          <w:noProof/>
        </w:rPr>
      </w:pPr>
    </w:p>
    <w:p w:rsidR="009A4AD4" w:rsidRDefault="009A4AD4" w:rsidP="009A4AD4">
      <w:pPr>
        <w:spacing w:after="0"/>
        <w:ind w:left="720"/>
        <w:rPr>
          <w:rFonts w:cstheme="minorHAnsi"/>
          <w:noProof/>
        </w:rPr>
      </w:pPr>
      <w:r>
        <w:rPr>
          <w:rFonts w:cstheme="minorHAnsi"/>
          <w:noProof/>
        </w:rPr>
        <w:t>Screenshot below shows data entry in SPSS.</w:t>
      </w:r>
    </w:p>
    <w:p w:rsidR="00C93D1F" w:rsidRDefault="00C93D1F" w:rsidP="009A4AD4">
      <w:pPr>
        <w:spacing w:after="0"/>
        <w:ind w:left="720"/>
        <w:rPr>
          <w:rFonts w:cstheme="minorHAnsi"/>
          <w:noProof/>
        </w:rPr>
      </w:pPr>
    </w:p>
    <w:p w:rsidR="00973C30" w:rsidRDefault="00973C30" w:rsidP="00352496">
      <w:pPr>
        <w:spacing w:after="0"/>
        <w:ind w:left="720"/>
        <w:rPr>
          <w:rFonts w:cstheme="minorHAnsi"/>
          <w:noProof/>
        </w:rPr>
      </w:pPr>
      <w:r>
        <w:rPr>
          <w:noProof/>
        </w:rPr>
        <w:drawing>
          <wp:inline distT="0" distB="0" distL="0" distR="0" wp14:anchorId="3385185E" wp14:editId="0F0FA4B8">
            <wp:extent cx="2811145" cy="30477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880" cy="3074583"/>
                    </a:xfrm>
                    <a:prstGeom prst="rect">
                      <a:avLst/>
                    </a:prstGeom>
                  </pic:spPr>
                </pic:pic>
              </a:graphicData>
            </a:graphic>
          </wp:inline>
        </w:drawing>
      </w:r>
    </w:p>
    <w:p w:rsidR="00973C30" w:rsidRDefault="00973C30" w:rsidP="00352496">
      <w:pPr>
        <w:spacing w:after="0"/>
        <w:ind w:left="720"/>
        <w:rPr>
          <w:rFonts w:cstheme="minorHAnsi"/>
          <w:noProof/>
        </w:rPr>
      </w:pPr>
    </w:p>
    <w:p w:rsidR="00973C30" w:rsidRDefault="00973C30" w:rsidP="00352496">
      <w:pPr>
        <w:spacing w:after="0"/>
        <w:ind w:left="720"/>
        <w:rPr>
          <w:rFonts w:cstheme="minorHAnsi"/>
          <w:noProof/>
        </w:rPr>
      </w:pPr>
      <w:r>
        <w:rPr>
          <w:rFonts w:cstheme="minorHAnsi"/>
          <w:noProof/>
        </w:rPr>
        <w:t xml:space="preserve">The figure above shows how data for a two-group t-test should be entered. The DV is heart_rate and the IV is medication which is scored 1 = after taking medication and 0 = before taking medication. While you can use any two numeric values desired for coding, I recommend using 0,1 coding to keep things simple. </w:t>
      </w:r>
      <w:r w:rsidR="007456EB">
        <w:rPr>
          <w:rFonts w:cstheme="minorHAnsi"/>
          <w:noProof/>
        </w:rPr>
        <w:t>This coding of 0 and 1 informs SPSS which groups of data are to be compared.</w:t>
      </w:r>
    </w:p>
    <w:p w:rsidR="00973C30" w:rsidRDefault="00973C30" w:rsidP="00352496">
      <w:pPr>
        <w:spacing w:after="0"/>
        <w:ind w:left="720"/>
        <w:rPr>
          <w:rFonts w:cstheme="minorHAnsi"/>
          <w:noProof/>
        </w:rPr>
      </w:pPr>
    </w:p>
    <w:p w:rsidR="00010AD6" w:rsidRDefault="00352496" w:rsidP="00352496">
      <w:pPr>
        <w:spacing w:after="0"/>
        <w:ind w:left="720"/>
        <w:rPr>
          <w:rFonts w:cstheme="minorHAnsi"/>
          <w:noProof/>
        </w:rPr>
      </w:pPr>
      <w:r>
        <w:rPr>
          <w:rFonts w:cstheme="minorHAnsi"/>
          <w:noProof/>
        </w:rPr>
        <w:t xml:space="preserve">SPSS </w:t>
      </w:r>
      <w:r w:rsidR="00010AD6" w:rsidRPr="00E022A0">
        <w:rPr>
          <w:rFonts w:cstheme="minorHAnsi"/>
          <w:noProof/>
        </w:rPr>
        <w:t>Commands</w:t>
      </w:r>
    </w:p>
    <w:p w:rsidR="00352496" w:rsidRPr="00E022A0" w:rsidRDefault="00352496" w:rsidP="00352496">
      <w:pPr>
        <w:spacing w:after="0"/>
        <w:ind w:left="720"/>
        <w:rPr>
          <w:rFonts w:cstheme="minorHAnsi"/>
          <w:noProof/>
        </w:rPr>
      </w:pPr>
      <w:r>
        <w:rPr>
          <w:noProof/>
        </w:rPr>
        <w:drawing>
          <wp:inline distT="0" distB="0" distL="0" distR="0" wp14:anchorId="1F2EC774" wp14:editId="6E47ABDB">
            <wp:extent cx="3465452" cy="28384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403" cy="2847419"/>
                    </a:xfrm>
                    <a:prstGeom prst="rect">
                      <a:avLst/>
                    </a:prstGeom>
                  </pic:spPr>
                </pic:pic>
              </a:graphicData>
            </a:graphic>
          </wp:inline>
        </w:drawing>
      </w:r>
    </w:p>
    <w:p w:rsidR="00010AD6" w:rsidRDefault="00010AD6" w:rsidP="00352496">
      <w:pPr>
        <w:spacing w:after="0"/>
        <w:ind w:left="720"/>
        <w:rPr>
          <w:rFonts w:cstheme="minorHAnsi"/>
          <w:noProof/>
        </w:rPr>
      </w:pPr>
    </w:p>
    <w:p w:rsidR="00C93D1F" w:rsidRDefault="00C93D1F" w:rsidP="00352496">
      <w:pPr>
        <w:spacing w:after="0"/>
        <w:ind w:left="720"/>
        <w:rPr>
          <w:rFonts w:cstheme="minorHAnsi"/>
          <w:noProof/>
        </w:rPr>
      </w:pPr>
    </w:p>
    <w:p w:rsidR="00352496" w:rsidRPr="00E022A0" w:rsidRDefault="00352496" w:rsidP="00352496">
      <w:pPr>
        <w:spacing w:after="0"/>
        <w:ind w:left="720"/>
        <w:rPr>
          <w:rFonts w:cstheme="minorHAnsi"/>
          <w:noProof/>
        </w:rPr>
      </w:pPr>
      <w:r>
        <w:rPr>
          <w:rFonts w:cstheme="minorHAnsi"/>
          <w:noProof/>
        </w:rPr>
        <w:lastRenderedPageBreak/>
        <w:t xml:space="preserve">In the window that opens, move the dependent variable (heart rate) in the Test Variables box, and move the </w:t>
      </w:r>
      <w:r w:rsidR="001D1FB4">
        <w:rPr>
          <w:rFonts w:cstheme="minorHAnsi"/>
          <w:noProof/>
        </w:rPr>
        <w:t xml:space="preserve">IV to the Grouping Variable box. </w:t>
      </w:r>
    </w:p>
    <w:p w:rsidR="00010AD6" w:rsidRPr="00E022A0" w:rsidRDefault="00010AD6" w:rsidP="00352496">
      <w:pPr>
        <w:spacing w:after="0"/>
        <w:ind w:left="720"/>
        <w:rPr>
          <w:rFonts w:cstheme="minorHAnsi"/>
          <w:noProof/>
        </w:rPr>
      </w:pPr>
    </w:p>
    <w:p w:rsidR="00010AD6" w:rsidRPr="00E022A0" w:rsidRDefault="00010AD6" w:rsidP="00352496">
      <w:pPr>
        <w:spacing w:after="0"/>
        <w:ind w:left="720"/>
        <w:rPr>
          <w:rFonts w:cstheme="minorHAnsi"/>
          <w:noProof/>
        </w:rPr>
      </w:pPr>
      <w:r w:rsidRPr="00E022A0">
        <w:rPr>
          <w:rFonts w:cstheme="minorHAnsi"/>
          <w:noProof/>
        </w:rPr>
        <w:drawing>
          <wp:inline distT="0" distB="0" distL="0" distR="0" wp14:anchorId="6AB19DA7" wp14:editId="3AF9FB7E">
            <wp:extent cx="3200730" cy="1968500"/>
            <wp:effectExtent l="0" t="0" r="0" b="0"/>
            <wp:docPr id="22" name="Picture 22" descr="C:\Users\Bryan\AppData\Local\Temp\SNAGHTML1b163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AppData\Local\Temp\SNAGHTML1b163f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573" cy="1969634"/>
                    </a:xfrm>
                    <a:prstGeom prst="rect">
                      <a:avLst/>
                    </a:prstGeom>
                    <a:noFill/>
                    <a:ln>
                      <a:noFill/>
                    </a:ln>
                  </pic:spPr>
                </pic:pic>
              </a:graphicData>
            </a:graphic>
          </wp:inline>
        </w:drawing>
      </w:r>
    </w:p>
    <w:p w:rsidR="001D1FB4" w:rsidRDefault="001D1FB4" w:rsidP="00352496">
      <w:pPr>
        <w:spacing w:after="0"/>
        <w:ind w:left="720"/>
        <w:rPr>
          <w:rFonts w:cstheme="minorHAnsi"/>
          <w:noProof/>
        </w:rPr>
      </w:pPr>
    </w:p>
    <w:p w:rsidR="00010AD6" w:rsidRDefault="001D1FB4" w:rsidP="00352496">
      <w:pPr>
        <w:spacing w:after="0"/>
        <w:ind w:left="720"/>
        <w:rPr>
          <w:rFonts w:cstheme="minorHAnsi"/>
          <w:noProof/>
        </w:rPr>
      </w:pPr>
      <w:r>
        <w:rPr>
          <w:rFonts w:cstheme="minorHAnsi"/>
          <w:noProof/>
        </w:rPr>
        <w:t xml:space="preserve">Next, inform SPSS which groups are to be compared. Recall that </w:t>
      </w:r>
      <w:r w:rsidR="00010AD6" w:rsidRPr="00E022A0">
        <w:rPr>
          <w:rFonts w:cstheme="minorHAnsi"/>
          <w:noProof/>
        </w:rPr>
        <w:t>Medication</w:t>
      </w:r>
      <w:r>
        <w:rPr>
          <w:rFonts w:cstheme="minorHAnsi"/>
          <w:noProof/>
        </w:rPr>
        <w:t xml:space="preserve"> is scored</w:t>
      </w:r>
      <w:r w:rsidR="00010AD6" w:rsidRPr="00E022A0">
        <w:rPr>
          <w:rFonts w:cstheme="minorHAnsi"/>
          <w:noProof/>
        </w:rPr>
        <w:t xml:space="preserve"> 1 = after medications, 0 = before medications</w:t>
      </w:r>
      <w:r>
        <w:rPr>
          <w:rFonts w:cstheme="minorHAnsi"/>
          <w:noProof/>
        </w:rPr>
        <w:t xml:space="preserve">, so insert these two values in the Define Groups box as shown below. </w:t>
      </w:r>
    </w:p>
    <w:p w:rsidR="006B0DEF" w:rsidRPr="00E022A0" w:rsidRDefault="006B0DEF" w:rsidP="00352496">
      <w:pPr>
        <w:spacing w:after="0"/>
        <w:ind w:left="720"/>
        <w:rPr>
          <w:rFonts w:cstheme="minorHAnsi"/>
          <w:noProof/>
        </w:rPr>
      </w:pPr>
    </w:p>
    <w:p w:rsidR="00010AD6" w:rsidRPr="00E022A0" w:rsidRDefault="00010AD6" w:rsidP="00352496">
      <w:pPr>
        <w:spacing w:after="0"/>
        <w:ind w:left="720"/>
        <w:rPr>
          <w:rFonts w:cstheme="minorHAnsi"/>
          <w:noProof/>
        </w:rPr>
      </w:pPr>
      <w:r w:rsidRPr="00E022A0">
        <w:rPr>
          <w:rFonts w:cstheme="minorHAnsi"/>
          <w:noProof/>
        </w:rPr>
        <w:drawing>
          <wp:inline distT="0" distB="0" distL="0" distR="0" wp14:anchorId="2B592864" wp14:editId="166F53E8">
            <wp:extent cx="3509917" cy="2159000"/>
            <wp:effectExtent l="0" t="0" r="0" b="0"/>
            <wp:docPr id="2" name="Picture 2" descr="C:\Users\Bryan\AppData\Local\Temp\SNAGHTML5a1b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AppData\Local\Temp\SNAGHTML5a1b07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877" cy="2160206"/>
                    </a:xfrm>
                    <a:prstGeom prst="rect">
                      <a:avLst/>
                    </a:prstGeom>
                    <a:noFill/>
                    <a:ln>
                      <a:noFill/>
                    </a:ln>
                  </pic:spPr>
                </pic:pic>
              </a:graphicData>
            </a:graphic>
          </wp:inline>
        </w:drawing>
      </w:r>
    </w:p>
    <w:p w:rsidR="00010AD6" w:rsidRDefault="00010AD6" w:rsidP="00352496">
      <w:pPr>
        <w:spacing w:after="0"/>
        <w:ind w:left="720"/>
        <w:rPr>
          <w:rFonts w:cstheme="minorHAnsi"/>
          <w:noProof/>
        </w:rPr>
      </w:pPr>
    </w:p>
    <w:p w:rsidR="00940D9D" w:rsidRDefault="00940D9D" w:rsidP="00352496">
      <w:pPr>
        <w:spacing w:after="0"/>
        <w:ind w:left="720"/>
        <w:rPr>
          <w:rFonts w:cstheme="minorHAnsi"/>
          <w:noProof/>
        </w:rPr>
      </w:pPr>
      <w:r>
        <w:rPr>
          <w:rFonts w:cstheme="minorHAnsi"/>
          <w:noProof/>
        </w:rPr>
        <w:t xml:space="preserve">Once groups are defined select OK to obtain results. </w:t>
      </w:r>
    </w:p>
    <w:p w:rsidR="00940D9D" w:rsidRDefault="00940D9D" w:rsidP="00352496">
      <w:pPr>
        <w:spacing w:after="0"/>
        <w:ind w:left="720"/>
        <w:rPr>
          <w:rFonts w:cstheme="minorHAnsi"/>
          <w:noProof/>
        </w:rPr>
      </w:pPr>
    </w:p>
    <w:p w:rsidR="00940D9D" w:rsidRDefault="00940D9D" w:rsidP="00352496">
      <w:pPr>
        <w:spacing w:after="0"/>
        <w:ind w:left="720"/>
        <w:rPr>
          <w:rFonts w:cstheme="minorHAnsi"/>
          <w:noProof/>
        </w:rPr>
      </w:pPr>
      <w:r>
        <w:rPr>
          <w:rFonts w:cstheme="minorHAnsi"/>
          <w:noProof/>
        </w:rPr>
        <w:t xml:space="preserve">SPSS results are shown below. The first table of results show descriptive statistics. From this table we see that before taking medication the heart rate mean = 55.36 beats per minute, but after taking blood pressure medication the heart rate slowed to mean = 49.71 beats per minute. </w:t>
      </w:r>
    </w:p>
    <w:p w:rsidR="00940D9D" w:rsidRPr="00E022A0" w:rsidRDefault="00940D9D" w:rsidP="00352496">
      <w:pPr>
        <w:spacing w:after="0"/>
        <w:ind w:left="720"/>
        <w:rPr>
          <w:rFonts w:cstheme="minorHAnsi"/>
          <w:noProof/>
        </w:rPr>
      </w:pPr>
    </w:p>
    <w:p w:rsidR="00010AD6" w:rsidRPr="00E022A0" w:rsidRDefault="00010AD6" w:rsidP="00352496">
      <w:pPr>
        <w:spacing w:after="0"/>
        <w:ind w:left="720"/>
        <w:rPr>
          <w:rFonts w:cstheme="minorHAnsi"/>
          <w:noProof/>
        </w:rPr>
      </w:pPr>
    </w:p>
    <w:p w:rsidR="00010AD6" w:rsidRPr="00E022A0" w:rsidRDefault="00A73A60" w:rsidP="00940D9D">
      <w:pPr>
        <w:spacing w:after="0"/>
        <w:rPr>
          <w:rFonts w:cstheme="minorHAnsi"/>
          <w:noProof/>
        </w:rPr>
      </w:pPr>
      <w:r>
        <w:rPr>
          <w:noProof/>
        </w:rPr>
        <w:lastRenderedPageBreak/>
        <w:drawing>
          <wp:inline distT="0" distB="0" distL="0" distR="0" wp14:anchorId="18161680" wp14:editId="3CF52DF4">
            <wp:extent cx="6858000" cy="2715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715260"/>
                    </a:xfrm>
                    <a:prstGeom prst="rect">
                      <a:avLst/>
                    </a:prstGeom>
                  </pic:spPr>
                </pic:pic>
              </a:graphicData>
            </a:graphic>
          </wp:inline>
        </w:drawing>
      </w:r>
    </w:p>
    <w:p w:rsidR="00010AD6" w:rsidRDefault="00010AD6" w:rsidP="00352496">
      <w:pPr>
        <w:spacing w:after="0"/>
        <w:ind w:left="720"/>
        <w:rPr>
          <w:rFonts w:cstheme="minorHAnsi"/>
          <w:noProof/>
        </w:rPr>
      </w:pPr>
    </w:p>
    <w:p w:rsidR="00010AD6" w:rsidRPr="00E022A0" w:rsidRDefault="00010AD6" w:rsidP="00E022A0">
      <w:pPr>
        <w:spacing w:after="0"/>
        <w:rPr>
          <w:rFonts w:cstheme="minorHAnsi"/>
          <w:b/>
        </w:rPr>
      </w:pPr>
      <w:r w:rsidRPr="00E022A0">
        <w:rPr>
          <w:rFonts w:cstheme="minorHAnsi"/>
          <w:b/>
        </w:rPr>
        <w:t>Equal vs. Unequal Variances</w:t>
      </w:r>
    </w:p>
    <w:p w:rsidR="00BA7A61" w:rsidRPr="00E022A0" w:rsidRDefault="00BA7A61" w:rsidP="00E022A0">
      <w:pPr>
        <w:spacing w:after="0"/>
        <w:ind w:left="720"/>
        <w:rPr>
          <w:rFonts w:cstheme="minorHAnsi"/>
          <w:noProof/>
        </w:rPr>
      </w:pPr>
      <w:r w:rsidRPr="00E022A0">
        <w:rPr>
          <w:rFonts w:cstheme="minorHAnsi"/>
          <w:noProof/>
        </w:rPr>
        <w:t xml:space="preserve">For EDUR </w:t>
      </w:r>
      <w:r w:rsidR="00A73A60">
        <w:rPr>
          <w:rFonts w:cstheme="minorHAnsi"/>
          <w:noProof/>
        </w:rPr>
        <w:t>8331</w:t>
      </w:r>
      <w:r w:rsidRPr="00E022A0">
        <w:rPr>
          <w:rFonts w:cstheme="minorHAnsi"/>
          <w:noProof/>
        </w:rPr>
        <w:t xml:space="preserve"> we will use the row entitled “Equal Variances Assumed”</w:t>
      </w:r>
      <w:r w:rsidR="00A73A60">
        <w:rPr>
          <w:rFonts w:cstheme="minorHAnsi"/>
          <w:noProof/>
        </w:rPr>
        <w:t xml:space="preserve"> which is marked by a red rectangle in the table above. </w:t>
      </w:r>
    </w:p>
    <w:p w:rsidR="00BA7A61" w:rsidRPr="00E022A0" w:rsidRDefault="00BA7A61" w:rsidP="00E022A0">
      <w:pPr>
        <w:spacing w:after="0"/>
        <w:ind w:left="720"/>
        <w:rPr>
          <w:rFonts w:cstheme="minorHAnsi"/>
          <w:noProof/>
        </w:rPr>
      </w:pPr>
    </w:p>
    <w:p w:rsidR="00010AD6" w:rsidRPr="00E022A0" w:rsidRDefault="00A75A6A" w:rsidP="00E022A0">
      <w:pPr>
        <w:spacing w:after="0"/>
        <w:ind w:left="720"/>
        <w:rPr>
          <w:rFonts w:cstheme="minorHAnsi"/>
          <w:noProof/>
        </w:rPr>
      </w:pPr>
      <w:r w:rsidRPr="00E022A0">
        <w:rPr>
          <w:rFonts w:cstheme="minorHAnsi"/>
          <w:noProof/>
        </w:rPr>
        <w:t xml:space="preserve">Not needed for EDUR </w:t>
      </w:r>
      <w:r w:rsidR="00A73A60">
        <w:rPr>
          <w:rFonts w:cstheme="minorHAnsi"/>
          <w:noProof/>
        </w:rPr>
        <w:t>8331</w:t>
      </w:r>
      <w:r w:rsidRPr="00E022A0">
        <w:rPr>
          <w:rFonts w:cstheme="minorHAnsi"/>
          <w:noProof/>
        </w:rPr>
        <w:t>, but for tho</w:t>
      </w:r>
      <w:r w:rsidR="00BA7A61" w:rsidRPr="00E022A0">
        <w:rPr>
          <w:rFonts w:cstheme="minorHAnsi"/>
          <w:noProof/>
        </w:rPr>
        <w:t xml:space="preserve">se interested, use </w:t>
      </w:r>
      <w:r w:rsidR="00010AD6" w:rsidRPr="00E022A0">
        <w:rPr>
          <w:rFonts w:cstheme="minorHAnsi"/>
          <w:noProof/>
        </w:rPr>
        <w:t xml:space="preserve">Levene’s </w:t>
      </w:r>
      <w:r w:rsidRPr="00E022A0">
        <w:rPr>
          <w:rFonts w:cstheme="minorHAnsi"/>
          <w:noProof/>
        </w:rPr>
        <w:t xml:space="preserve">to </w:t>
      </w:r>
      <w:r w:rsidR="00010AD6" w:rsidRPr="00E022A0">
        <w:rPr>
          <w:rFonts w:cstheme="minorHAnsi"/>
          <w:noProof/>
        </w:rPr>
        <w:t xml:space="preserve">test </w:t>
      </w:r>
      <w:r w:rsidRPr="00E022A0">
        <w:rPr>
          <w:rFonts w:cstheme="minorHAnsi"/>
          <w:noProof/>
        </w:rPr>
        <w:t>group variances:</w:t>
      </w:r>
      <w:r w:rsidR="00010AD6" w:rsidRPr="00E022A0">
        <w:rPr>
          <w:rFonts w:cstheme="minorHAnsi"/>
          <w:noProof/>
        </w:rPr>
        <w:t xml:space="preserve"> </w:t>
      </w:r>
    </w:p>
    <w:p w:rsidR="00010AD6" w:rsidRPr="00E022A0" w:rsidRDefault="00010AD6" w:rsidP="00E022A0">
      <w:pPr>
        <w:pStyle w:val="ListParagraph"/>
        <w:numPr>
          <w:ilvl w:val="0"/>
          <w:numId w:val="2"/>
        </w:numPr>
        <w:spacing w:after="0"/>
        <w:rPr>
          <w:rFonts w:cstheme="minorHAnsi"/>
          <w:noProof/>
        </w:rPr>
      </w:pPr>
      <w:r w:rsidRPr="00E022A0">
        <w:rPr>
          <w:rFonts w:cstheme="minorHAnsi"/>
          <w:noProof/>
        </w:rPr>
        <w:t>Levene’s Test assesses this null, Ho: variance group 1 = variane group 2</w:t>
      </w:r>
    </w:p>
    <w:p w:rsidR="00010AD6" w:rsidRPr="00E022A0" w:rsidRDefault="00010AD6" w:rsidP="00E022A0">
      <w:pPr>
        <w:pStyle w:val="ListParagraph"/>
        <w:numPr>
          <w:ilvl w:val="0"/>
          <w:numId w:val="2"/>
        </w:numPr>
        <w:spacing w:after="0"/>
        <w:rPr>
          <w:rFonts w:cstheme="minorHAnsi"/>
          <w:noProof/>
        </w:rPr>
      </w:pPr>
      <w:r w:rsidRPr="00E022A0">
        <w:rPr>
          <w:rFonts w:cstheme="minorHAnsi"/>
          <w:noProof/>
        </w:rPr>
        <w:t>If fail to reject, we assume the two groups have similar variances; if reject, then assume group variances are not equal.</w:t>
      </w:r>
    </w:p>
    <w:p w:rsidR="00010AD6" w:rsidRPr="00E022A0" w:rsidRDefault="00010AD6" w:rsidP="00E022A0">
      <w:pPr>
        <w:pStyle w:val="ListParagraph"/>
        <w:numPr>
          <w:ilvl w:val="0"/>
          <w:numId w:val="2"/>
        </w:numPr>
        <w:spacing w:after="0"/>
        <w:rPr>
          <w:rFonts w:cstheme="minorHAnsi"/>
          <w:noProof/>
        </w:rPr>
      </w:pPr>
      <w:r w:rsidRPr="00E022A0">
        <w:rPr>
          <w:rFonts w:cstheme="minorHAnsi"/>
          <w:noProof/>
        </w:rPr>
        <w:t xml:space="preserve">If variances are not equal, that affects how p-values and CI are calculated for the t-test, so an adjustment is made. </w:t>
      </w:r>
    </w:p>
    <w:p w:rsidR="00010AD6" w:rsidRPr="00E022A0" w:rsidRDefault="00010AD6" w:rsidP="00E022A0">
      <w:pPr>
        <w:pStyle w:val="ListParagraph"/>
        <w:numPr>
          <w:ilvl w:val="0"/>
          <w:numId w:val="2"/>
        </w:numPr>
        <w:spacing w:after="0"/>
        <w:rPr>
          <w:rFonts w:cstheme="minorHAnsi"/>
          <w:noProof/>
        </w:rPr>
      </w:pPr>
      <w:r w:rsidRPr="00E022A0">
        <w:rPr>
          <w:rFonts w:cstheme="minorHAnsi"/>
          <w:noProof/>
        </w:rPr>
        <w:t xml:space="preserve">If sig. (p-value) for Levene’s is less than .10 or .05 (you pick alpha here), then variances appear to be different so use “Equal variances not assume” row, </w:t>
      </w:r>
    </w:p>
    <w:p w:rsidR="00010AD6" w:rsidRPr="00E022A0" w:rsidRDefault="00010AD6" w:rsidP="00E022A0">
      <w:pPr>
        <w:pStyle w:val="ListParagraph"/>
        <w:numPr>
          <w:ilvl w:val="0"/>
          <w:numId w:val="2"/>
        </w:numPr>
        <w:spacing w:after="0"/>
        <w:rPr>
          <w:rFonts w:cstheme="minorHAnsi"/>
          <w:noProof/>
        </w:rPr>
      </w:pPr>
      <w:r w:rsidRPr="00E022A0">
        <w:rPr>
          <w:rFonts w:cstheme="minorHAnsi"/>
          <w:noProof/>
        </w:rPr>
        <w:t xml:space="preserve">but if the Levene’s p-value (sig. value) is greater than .10 or .05 then use “Equal Variances Assumed” row. </w:t>
      </w:r>
    </w:p>
    <w:p w:rsidR="00010AD6" w:rsidRDefault="00010AD6" w:rsidP="00E022A0">
      <w:pPr>
        <w:spacing w:after="0"/>
        <w:rPr>
          <w:rFonts w:cstheme="minorHAnsi"/>
        </w:rPr>
      </w:pPr>
    </w:p>
    <w:p w:rsidR="006B0DEF" w:rsidRPr="006B0DEF" w:rsidRDefault="006B0DEF" w:rsidP="00E022A0">
      <w:pPr>
        <w:spacing w:after="0"/>
        <w:rPr>
          <w:rFonts w:cstheme="minorHAnsi"/>
          <w:b/>
        </w:rPr>
      </w:pPr>
      <w:r w:rsidRPr="006B0DEF">
        <w:rPr>
          <w:rFonts w:cstheme="minorHAnsi"/>
          <w:b/>
        </w:rPr>
        <w:t>Reading SPSS Results</w:t>
      </w:r>
    </w:p>
    <w:p w:rsidR="006B0DEF" w:rsidRDefault="006B0DEF" w:rsidP="00E022A0">
      <w:pPr>
        <w:spacing w:after="0"/>
        <w:rPr>
          <w:rFonts w:cstheme="minorHAnsi"/>
        </w:rPr>
      </w:pPr>
    </w:p>
    <w:p w:rsidR="00C44C0A" w:rsidRDefault="00C44C0A" w:rsidP="00C44C0A">
      <w:pPr>
        <w:spacing w:after="0"/>
        <w:ind w:left="720"/>
        <w:rPr>
          <w:noProof/>
        </w:rPr>
      </w:pPr>
      <w:r>
        <w:rPr>
          <w:noProof/>
        </w:rPr>
        <w:t xml:space="preserve">The table below shows the t-test results with certain results highlighted. </w:t>
      </w:r>
    </w:p>
    <w:p w:rsidR="00C44C0A" w:rsidRDefault="00C44C0A" w:rsidP="00C44C0A">
      <w:pPr>
        <w:spacing w:after="0"/>
        <w:ind w:left="720"/>
        <w:rPr>
          <w:noProof/>
        </w:rPr>
      </w:pPr>
    </w:p>
    <w:p w:rsidR="00C44C0A" w:rsidRDefault="00C44C0A" w:rsidP="00C44C0A">
      <w:pPr>
        <w:spacing w:after="0"/>
        <w:ind w:left="720"/>
        <w:rPr>
          <w:noProof/>
        </w:rPr>
      </w:pPr>
      <w:r>
        <w:rPr>
          <w:noProof/>
        </w:rPr>
        <w:t>The calculated t-ratio = -3.526, with degress of freedom = 26. The t-ratio indicates the standardized difference in the two heart rate means.</w:t>
      </w:r>
    </w:p>
    <w:p w:rsidR="00C44C0A" w:rsidRDefault="00C44C0A" w:rsidP="00C44C0A">
      <w:pPr>
        <w:spacing w:after="0"/>
        <w:ind w:left="720"/>
        <w:rPr>
          <w:noProof/>
        </w:rPr>
      </w:pPr>
    </w:p>
    <w:p w:rsidR="00C44C0A" w:rsidRDefault="00C44C0A" w:rsidP="00C44C0A">
      <w:pPr>
        <w:spacing w:after="0"/>
        <w:ind w:left="720"/>
        <w:rPr>
          <w:noProof/>
        </w:rPr>
      </w:pPr>
      <w:r>
        <w:rPr>
          <w:noProof/>
        </w:rPr>
        <w:t xml:space="preserve">The p-value for this t-ratio is .002. Recall the </w:t>
      </w:r>
      <w:r w:rsidR="004B62B0">
        <w:rPr>
          <w:noProof/>
        </w:rPr>
        <w:t>decision rule for rejecting the null hypothesis of no mean difference:</w:t>
      </w:r>
    </w:p>
    <w:p w:rsidR="004B62B0" w:rsidRDefault="004B62B0" w:rsidP="00C44C0A">
      <w:pPr>
        <w:spacing w:after="0"/>
        <w:ind w:left="720"/>
        <w:rPr>
          <w:noProof/>
        </w:rPr>
      </w:pPr>
    </w:p>
    <w:p w:rsidR="004B62B0" w:rsidRPr="00E022A0" w:rsidRDefault="004B62B0" w:rsidP="004B62B0">
      <w:pPr>
        <w:spacing w:after="0"/>
        <w:ind w:left="1440"/>
        <w:rPr>
          <w:rFonts w:cstheme="minorHAnsi"/>
        </w:rPr>
      </w:pPr>
      <w:r w:rsidRPr="00E022A0">
        <w:rPr>
          <w:rFonts w:cstheme="minorHAnsi"/>
        </w:rPr>
        <w:t>If p ≤ α reject Ho; if p &gt; α fail to reject Ho</w:t>
      </w:r>
    </w:p>
    <w:p w:rsidR="004B62B0" w:rsidRDefault="004B62B0" w:rsidP="00C44C0A">
      <w:pPr>
        <w:spacing w:after="0"/>
        <w:ind w:left="720"/>
        <w:rPr>
          <w:noProof/>
        </w:rPr>
      </w:pPr>
    </w:p>
    <w:p w:rsidR="004B62B0" w:rsidRDefault="004B62B0" w:rsidP="00C44C0A">
      <w:pPr>
        <w:spacing w:after="0"/>
        <w:ind w:left="720"/>
        <w:rPr>
          <w:noProof/>
        </w:rPr>
      </w:pPr>
      <w:r>
        <w:rPr>
          <w:noProof/>
        </w:rPr>
        <w:t xml:space="preserve">Since the obained p-value of .002 is less than .05 (standard value for alpha), reject null and conclude there is a mean difference in heart rates before and after taking blood pressure medication. </w:t>
      </w:r>
    </w:p>
    <w:p w:rsidR="00010AD6" w:rsidRPr="00E022A0" w:rsidRDefault="00C44C0A" w:rsidP="00E022A0">
      <w:pPr>
        <w:spacing w:after="0"/>
        <w:rPr>
          <w:rFonts w:cstheme="minorHAnsi"/>
        </w:rPr>
      </w:pPr>
      <w:r>
        <w:rPr>
          <w:noProof/>
        </w:rPr>
        <w:lastRenderedPageBreak/>
        <w:drawing>
          <wp:inline distT="0" distB="0" distL="0" distR="0">
            <wp:extent cx="6858000" cy="2826099"/>
            <wp:effectExtent l="0" t="0" r="0" b="0"/>
            <wp:docPr id="6" name="Picture 6" descr="C:\Users\BWG\AppData\Local\Temp\SNAGHTML9c61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G\AppData\Local\Temp\SNAGHTML9c6155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826099"/>
                    </a:xfrm>
                    <a:prstGeom prst="rect">
                      <a:avLst/>
                    </a:prstGeom>
                    <a:noFill/>
                    <a:ln>
                      <a:noFill/>
                    </a:ln>
                  </pic:spPr>
                </pic:pic>
              </a:graphicData>
            </a:graphic>
          </wp:inline>
        </w:drawing>
      </w:r>
    </w:p>
    <w:p w:rsidR="00021972" w:rsidRDefault="00021972" w:rsidP="00021972">
      <w:pPr>
        <w:spacing w:after="0"/>
        <w:ind w:left="720"/>
        <w:rPr>
          <w:rFonts w:cstheme="minorHAnsi"/>
        </w:rPr>
      </w:pPr>
      <w:r>
        <w:rPr>
          <w:rFonts w:cstheme="minorHAnsi"/>
        </w:rPr>
        <w:t xml:space="preserve">The 95% confidence interval provides a range estimate of how large the possible mean difference in heart rate means could be in the population. The population mean difference could be as low as -8.93 or as high as -2.35; so, the change in heart rate could be a decrease by as much as -8.9 beats per minute or as much as -2.3 beats per minute. Either way, this suggests blood pressure medication I take will reduce my heart rate. </w:t>
      </w:r>
    </w:p>
    <w:p w:rsidR="00021972" w:rsidRPr="00E022A0" w:rsidRDefault="00021972" w:rsidP="00E022A0">
      <w:pPr>
        <w:spacing w:after="0"/>
        <w:rPr>
          <w:rFonts w:cstheme="minorHAnsi"/>
        </w:rPr>
      </w:pPr>
    </w:p>
    <w:p w:rsidR="00010AD6" w:rsidRPr="00E022A0" w:rsidRDefault="00422944" w:rsidP="00E022A0">
      <w:pPr>
        <w:spacing w:after="0" w:line="240" w:lineRule="atLeast"/>
        <w:rPr>
          <w:rFonts w:cstheme="minorHAnsi"/>
          <w:b/>
        </w:rPr>
      </w:pPr>
      <w:r>
        <w:rPr>
          <w:rFonts w:cstheme="minorHAnsi"/>
          <w:b/>
        </w:rPr>
        <w:t>4</w:t>
      </w:r>
      <w:r w:rsidR="00295708" w:rsidRPr="00E022A0">
        <w:rPr>
          <w:rFonts w:cstheme="minorHAnsi"/>
          <w:b/>
        </w:rPr>
        <w:t xml:space="preserve">. </w:t>
      </w:r>
      <w:r w:rsidR="00010AD6" w:rsidRPr="00E022A0">
        <w:rPr>
          <w:rFonts w:cstheme="minorHAnsi"/>
          <w:b/>
        </w:rPr>
        <w:t>APA Styled Results</w:t>
      </w:r>
    </w:p>
    <w:p w:rsidR="00010AD6" w:rsidRPr="00E022A0" w:rsidRDefault="00422944" w:rsidP="00422944">
      <w:pPr>
        <w:spacing w:after="0" w:line="240" w:lineRule="atLeast"/>
        <w:ind w:left="720"/>
        <w:rPr>
          <w:rFonts w:cstheme="minorHAnsi"/>
        </w:rPr>
      </w:pPr>
      <w:r>
        <w:rPr>
          <w:rFonts w:cstheme="minorHAnsi"/>
        </w:rPr>
        <w:t xml:space="preserve">Below is an example showing how to report t-test results in APA style format. </w:t>
      </w:r>
    </w:p>
    <w:p w:rsidR="00010AD6" w:rsidRPr="00E022A0" w:rsidRDefault="00010AD6" w:rsidP="00E022A0">
      <w:pPr>
        <w:spacing w:after="0" w:line="240" w:lineRule="atLeast"/>
        <w:rPr>
          <w:rFonts w:cstheme="minorHAnsi"/>
        </w:rPr>
      </w:pPr>
    </w:p>
    <w:p w:rsidR="00010AD6" w:rsidRPr="00422944" w:rsidRDefault="00010AD6" w:rsidP="00422944">
      <w:pPr>
        <w:spacing w:after="0" w:line="240" w:lineRule="atLeast"/>
        <w:ind w:left="720"/>
        <w:rPr>
          <w:rFonts w:cstheme="minorHAnsi"/>
        </w:rPr>
      </w:pPr>
      <w:r w:rsidRPr="00422944">
        <w:rPr>
          <w:rFonts w:cstheme="minorHAnsi"/>
        </w:rPr>
        <w:t>Table 5</w:t>
      </w:r>
      <w:r w:rsidR="00422944" w:rsidRPr="00422944">
        <w:rPr>
          <w:rFonts w:cstheme="minorHAnsi"/>
        </w:rPr>
        <w:t xml:space="preserve">: </w:t>
      </w:r>
      <w:r w:rsidRPr="00422944">
        <w:rPr>
          <w:rFonts w:cstheme="minorHAnsi"/>
        </w:rPr>
        <w:t>Results of t-test and Descriptive Statistics for Heart Rate per Minute by Medication Usage</w:t>
      </w:r>
    </w:p>
    <w:tbl>
      <w:tblPr>
        <w:tblW w:w="10260" w:type="dxa"/>
        <w:tblInd w:w="720" w:type="dxa"/>
        <w:tblLayout w:type="fixed"/>
        <w:tblLook w:val="04A0" w:firstRow="1" w:lastRow="0" w:firstColumn="1" w:lastColumn="0" w:noHBand="0" w:noVBand="1"/>
      </w:tblPr>
      <w:tblGrid>
        <w:gridCol w:w="1638"/>
        <w:gridCol w:w="1260"/>
        <w:gridCol w:w="792"/>
        <w:gridCol w:w="558"/>
        <w:gridCol w:w="270"/>
        <w:gridCol w:w="1080"/>
        <w:gridCol w:w="792"/>
        <w:gridCol w:w="558"/>
        <w:gridCol w:w="1800"/>
        <w:gridCol w:w="882"/>
        <w:gridCol w:w="630"/>
      </w:tblGrid>
      <w:tr w:rsidR="00010AD6" w:rsidRPr="00E022A0" w:rsidTr="00422944">
        <w:trPr>
          <w:cantSplit/>
        </w:trPr>
        <w:tc>
          <w:tcPr>
            <w:tcW w:w="1638" w:type="dxa"/>
            <w:tcBorders>
              <w:top w:val="single" w:sz="4" w:space="0" w:color="auto"/>
              <w:left w:val="nil"/>
              <w:bottom w:val="nil"/>
              <w:right w:val="nil"/>
            </w:tcBorders>
            <w:vAlign w:val="center"/>
          </w:tcPr>
          <w:p w:rsidR="00010AD6" w:rsidRPr="00E022A0" w:rsidRDefault="00010AD6" w:rsidP="00E022A0">
            <w:pPr>
              <w:spacing w:after="0" w:line="240" w:lineRule="atLeast"/>
              <w:jc w:val="center"/>
              <w:rPr>
                <w:rFonts w:cstheme="minorHAnsi"/>
              </w:rPr>
            </w:pPr>
          </w:p>
        </w:tc>
        <w:tc>
          <w:tcPr>
            <w:tcW w:w="5310" w:type="dxa"/>
            <w:gridSpan w:val="7"/>
            <w:tcBorders>
              <w:top w:val="single" w:sz="4" w:space="0" w:color="auto"/>
              <w:left w:val="nil"/>
              <w:bottom w:val="nil"/>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Medication Usage</w:t>
            </w:r>
          </w:p>
        </w:tc>
        <w:tc>
          <w:tcPr>
            <w:tcW w:w="1800" w:type="dxa"/>
            <w:vMerge w:val="restart"/>
            <w:tcBorders>
              <w:top w:val="single" w:sz="4" w:space="0" w:color="auto"/>
              <w:left w:val="nil"/>
              <w:bottom w:val="single" w:sz="4" w:space="0" w:color="auto"/>
              <w:right w:val="nil"/>
            </w:tcBorders>
            <w:hideMark/>
          </w:tcPr>
          <w:p w:rsidR="00010AD6" w:rsidRPr="00E022A0" w:rsidRDefault="00010AD6" w:rsidP="00E022A0">
            <w:pPr>
              <w:spacing w:after="0" w:line="240" w:lineRule="atLeast"/>
              <w:jc w:val="center"/>
              <w:rPr>
                <w:rFonts w:cstheme="minorHAnsi"/>
              </w:rPr>
            </w:pPr>
            <w:r w:rsidRPr="00E022A0">
              <w:rPr>
                <w:rFonts w:cstheme="minorHAnsi"/>
              </w:rPr>
              <w:t>95% CI for Mean Difference</w:t>
            </w:r>
          </w:p>
        </w:tc>
        <w:tc>
          <w:tcPr>
            <w:tcW w:w="882" w:type="dxa"/>
            <w:tcBorders>
              <w:top w:val="single" w:sz="4" w:space="0" w:color="auto"/>
              <w:left w:val="nil"/>
              <w:bottom w:val="nil"/>
              <w:right w:val="nil"/>
            </w:tcBorders>
            <w:vAlign w:val="center"/>
          </w:tcPr>
          <w:p w:rsidR="00010AD6" w:rsidRPr="00E022A0" w:rsidRDefault="00010AD6" w:rsidP="00E022A0">
            <w:pPr>
              <w:spacing w:after="0" w:line="240" w:lineRule="atLeast"/>
              <w:jc w:val="center"/>
              <w:rPr>
                <w:rFonts w:cstheme="minorHAnsi"/>
              </w:rPr>
            </w:pPr>
          </w:p>
        </w:tc>
        <w:tc>
          <w:tcPr>
            <w:tcW w:w="630" w:type="dxa"/>
            <w:tcBorders>
              <w:top w:val="single" w:sz="4" w:space="0" w:color="auto"/>
              <w:left w:val="nil"/>
              <w:bottom w:val="nil"/>
              <w:right w:val="nil"/>
            </w:tcBorders>
            <w:vAlign w:val="center"/>
          </w:tcPr>
          <w:p w:rsidR="00010AD6" w:rsidRPr="00E022A0" w:rsidRDefault="00010AD6" w:rsidP="00E022A0">
            <w:pPr>
              <w:spacing w:after="0" w:line="240" w:lineRule="atLeast"/>
              <w:jc w:val="center"/>
              <w:rPr>
                <w:rFonts w:cstheme="minorHAnsi"/>
              </w:rPr>
            </w:pPr>
          </w:p>
        </w:tc>
      </w:tr>
      <w:tr w:rsidR="00010AD6" w:rsidRPr="00E022A0" w:rsidTr="00422944">
        <w:trPr>
          <w:cantSplit/>
        </w:trPr>
        <w:tc>
          <w:tcPr>
            <w:tcW w:w="1638" w:type="dxa"/>
            <w:vAlign w:val="center"/>
          </w:tcPr>
          <w:p w:rsidR="00010AD6" w:rsidRPr="00E022A0" w:rsidRDefault="00010AD6" w:rsidP="00E022A0">
            <w:pPr>
              <w:spacing w:after="0" w:line="240" w:lineRule="atLeast"/>
              <w:jc w:val="center"/>
              <w:rPr>
                <w:rFonts w:cstheme="minorHAnsi"/>
              </w:rPr>
            </w:pPr>
          </w:p>
        </w:tc>
        <w:tc>
          <w:tcPr>
            <w:tcW w:w="2610" w:type="dxa"/>
            <w:gridSpan w:val="3"/>
            <w:tcBorders>
              <w:top w:val="nil"/>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After Usage</w:t>
            </w:r>
          </w:p>
        </w:tc>
        <w:tc>
          <w:tcPr>
            <w:tcW w:w="270" w:type="dxa"/>
            <w:vAlign w:val="center"/>
          </w:tcPr>
          <w:p w:rsidR="00010AD6" w:rsidRPr="00E022A0" w:rsidRDefault="00010AD6" w:rsidP="00E022A0">
            <w:pPr>
              <w:spacing w:after="0" w:line="240" w:lineRule="atLeast"/>
              <w:jc w:val="center"/>
              <w:rPr>
                <w:rFonts w:cstheme="minorHAnsi"/>
              </w:rPr>
            </w:pPr>
          </w:p>
        </w:tc>
        <w:tc>
          <w:tcPr>
            <w:tcW w:w="2430" w:type="dxa"/>
            <w:gridSpan w:val="3"/>
            <w:tcBorders>
              <w:top w:val="nil"/>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Before Usage</w:t>
            </w:r>
          </w:p>
        </w:tc>
        <w:tc>
          <w:tcPr>
            <w:tcW w:w="1800" w:type="dxa"/>
            <w:vMerge/>
            <w:tcBorders>
              <w:top w:val="single" w:sz="4" w:space="0" w:color="auto"/>
              <w:left w:val="nil"/>
              <w:bottom w:val="single" w:sz="4" w:space="0" w:color="auto"/>
              <w:right w:val="nil"/>
            </w:tcBorders>
            <w:vAlign w:val="center"/>
            <w:hideMark/>
          </w:tcPr>
          <w:p w:rsidR="00010AD6" w:rsidRPr="00E022A0" w:rsidRDefault="00010AD6" w:rsidP="00E022A0">
            <w:pPr>
              <w:spacing w:after="0"/>
              <w:rPr>
                <w:rFonts w:cstheme="minorHAnsi"/>
              </w:rPr>
            </w:pPr>
          </w:p>
        </w:tc>
        <w:tc>
          <w:tcPr>
            <w:tcW w:w="882" w:type="dxa"/>
            <w:vAlign w:val="center"/>
          </w:tcPr>
          <w:p w:rsidR="00010AD6" w:rsidRPr="00E022A0" w:rsidRDefault="00010AD6" w:rsidP="00E022A0">
            <w:pPr>
              <w:spacing w:after="0" w:line="240" w:lineRule="atLeast"/>
              <w:jc w:val="center"/>
              <w:rPr>
                <w:rFonts w:cstheme="minorHAnsi"/>
              </w:rPr>
            </w:pPr>
          </w:p>
        </w:tc>
        <w:tc>
          <w:tcPr>
            <w:tcW w:w="630" w:type="dxa"/>
            <w:vAlign w:val="center"/>
          </w:tcPr>
          <w:p w:rsidR="00010AD6" w:rsidRPr="00E022A0" w:rsidRDefault="00010AD6" w:rsidP="00E022A0">
            <w:pPr>
              <w:spacing w:after="0" w:line="240" w:lineRule="atLeast"/>
              <w:jc w:val="center"/>
              <w:rPr>
                <w:rFonts w:cstheme="minorHAnsi"/>
              </w:rPr>
            </w:pPr>
          </w:p>
        </w:tc>
      </w:tr>
      <w:tr w:rsidR="00010AD6" w:rsidRPr="00E022A0" w:rsidTr="00422944">
        <w:trPr>
          <w:cantSplit/>
        </w:trPr>
        <w:tc>
          <w:tcPr>
            <w:tcW w:w="1638"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p>
        </w:tc>
        <w:tc>
          <w:tcPr>
            <w:tcW w:w="1260"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M</w:t>
            </w:r>
          </w:p>
        </w:tc>
        <w:tc>
          <w:tcPr>
            <w:tcW w:w="792"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SD</w:t>
            </w:r>
          </w:p>
        </w:tc>
        <w:tc>
          <w:tcPr>
            <w:tcW w:w="558"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n</w:t>
            </w:r>
          </w:p>
        </w:tc>
        <w:tc>
          <w:tcPr>
            <w:tcW w:w="27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p>
        </w:tc>
        <w:tc>
          <w:tcPr>
            <w:tcW w:w="1080"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M</w:t>
            </w:r>
          </w:p>
        </w:tc>
        <w:tc>
          <w:tcPr>
            <w:tcW w:w="792"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SD</w:t>
            </w:r>
          </w:p>
        </w:tc>
        <w:tc>
          <w:tcPr>
            <w:tcW w:w="558" w:type="dxa"/>
            <w:tcBorders>
              <w:top w:val="single" w:sz="4" w:space="0" w:color="auto"/>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n</w:t>
            </w:r>
          </w:p>
        </w:tc>
        <w:tc>
          <w:tcPr>
            <w:tcW w:w="1800" w:type="dxa"/>
            <w:vMerge/>
            <w:tcBorders>
              <w:top w:val="single" w:sz="4" w:space="0" w:color="auto"/>
              <w:left w:val="nil"/>
              <w:bottom w:val="single" w:sz="4" w:space="0" w:color="auto"/>
              <w:right w:val="nil"/>
            </w:tcBorders>
            <w:vAlign w:val="center"/>
            <w:hideMark/>
          </w:tcPr>
          <w:p w:rsidR="00010AD6" w:rsidRPr="00E022A0" w:rsidRDefault="00010AD6" w:rsidP="00E022A0">
            <w:pPr>
              <w:spacing w:after="0"/>
              <w:rPr>
                <w:rFonts w:cstheme="minorHAnsi"/>
              </w:rPr>
            </w:pPr>
          </w:p>
        </w:tc>
        <w:tc>
          <w:tcPr>
            <w:tcW w:w="882" w:type="dxa"/>
            <w:tcBorders>
              <w:top w:val="nil"/>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r w:rsidRPr="00E022A0">
              <w:rPr>
                <w:rFonts w:cstheme="minorHAnsi"/>
              </w:rPr>
              <w:t>t</w:t>
            </w:r>
          </w:p>
        </w:tc>
        <w:tc>
          <w:tcPr>
            <w:tcW w:w="630" w:type="dxa"/>
            <w:tcBorders>
              <w:top w:val="nil"/>
              <w:left w:val="nil"/>
              <w:bottom w:val="single" w:sz="4" w:space="0" w:color="auto"/>
              <w:right w:val="nil"/>
            </w:tcBorders>
            <w:vAlign w:val="center"/>
            <w:hideMark/>
          </w:tcPr>
          <w:p w:rsidR="00010AD6" w:rsidRPr="00E022A0" w:rsidRDefault="00010AD6" w:rsidP="00E022A0">
            <w:pPr>
              <w:spacing w:after="0" w:line="240" w:lineRule="atLeast"/>
              <w:jc w:val="center"/>
              <w:rPr>
                <w:rFonts w:cstheme="minorHAnsi"/>
              </w:rPr>
            </w:pPr>
            <w:proofErr w:type="spellStart"/>
            <w:r w:rsidRPr="00E022A0">
              <w:rPr>
                <w:rFonts w:cstheme="minorHAnsi"/>
              </w:rPr>
              <w:t>df</w:t>
            </w:r>
            <w:proofErr w:type="spellEnd"/>
          </w:p>
        </w:tc>
      </w:tr>
      <w:tr w:rsidR="00010AD6" w:rsidRPr="00E022A0" w:rsidTr="00422944">
        <w:tc>
          <w:tcPr>
            <w:tcW w:w="1638" w:type="dxa"/>
            <w:tcBorders>
              <w:top w:val="nil"/>
              <w:left w:val="nil"/>
              <w:bottom w:val="single" w:sz="4" w:space="0" w:color="auto"/>
              <w:right w:val="nil"/>
            </w:tcBorders>
            <w:hideMark/>
          </w:tcPr>
          <w:p w:rsidR="00010AD6" w:rsidRPr="00E022A0" w:rsidRDefault="00010AD6" w:rsidP="00E022A0">
            <w:pPr>
              <w:spacing w:after="0" w:line="240" w:lineRule="atLeast"/>
              <w:rPr>
                <w:rFonts w:cstheme="minorHAnsi"/>
              </w:rPr>
            </w:pPr>
            <w:r w:rsidRPr="00E022A0">
              <w:rPr>
                <w:rFonts w:cstheme="minorHAnsi"/>
              </w:rPr>
              <w:t>Heart Rate</w:t>
            </w:r>
          </w:p>
        </w:tc>
        <w:tc>
          <w:tcPr>
            <w:tcW w:w="126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49.71</w:t>
            </w:r>
          </w:p>
        </w:tc>
        <w:tc>
          <w:tcPr>
            <w:tcW w:w="792"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5.00</w:t>
            </w:r>
          </w:p>
        </w:tc>
        <w:tc>
          <w:tcPr>
            <w:tcW w:w="558"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14</w:t>
            </w:r>
          </w:p>
        </w:tc>
        <w:tc>
          <w:tcPr>
            <w:tcW w:w="27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p>
        </w:tc>
        <w:tc>
          <w:tcPr>
            <w:tcW w:w="108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55.36</w:t>
            </w:r>
          </w:p>
        </w:tc>
        <w:tc>
          <w:tcPr>
            <w:tcW w:w="792"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3.30</w:t>
            </w:r>
          </w:p>
        </w:tc>
        <w:tc>
          <w:tcPr>
            <w:tcW w:w="558"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14</w:t>
            </w:r>
          </w:p>
        </w:tc>
        <w:tc>
          <w:tcPr>
            <w:tcW w:w="180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-8.93, -2.35</w:t>
            </w:r>
          </w:p>
        </w:tc>
        <w:tc>
          <w:tcPr>
            <w:tcW w:w="882"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-3.53</w:t>
            </w:r>
            <w:r w:rsidR="004205C3" w:rsidRPr="00E022A0">
              <w:rPr>
                <w:rFonts w:cstheme="minorHAnsi"/>
              </w:rPr>
              <w:t>*</w:t>
            </w:r>
          </w:p>
        </w:tc>
        <w:tc>
          <w:tcPr>
            <w:tcW w:w="630" w:type="dxa"/>
            <w:tcBorders>
              <w:top w:val="nil"/>
              <w:left w:val="nil"/>
              <w:bottom w:val="single" w:sz="4" w:space="0" w:color="auto"/>
              <w:right w:val="nil"/>
            </w:tcBorders>
            <w:vAlign w:val="center"/>
          </w:tcPr>
          <w:p w:rsidR="00010AD6" w:rsidRPr="00E022A0" w:rsidRDefault="00010AD6" w:rsidP="00E022A0">
            <w:pPr>
              <w:spacing w:after="0" w:line="240" w:lineRule="atLeast"/>
              <w:jc w:val="center"/>
              <w:rPr>
                <w:rFonts w:cstheme="minorHAnsi"/>
              </w:rPr>
            </w:pPr>
            <w:r w:rsidRPr="00E022A0">
              <w:rPr>
                <w:rFonts w:cstheme="minorHAnsi"/>
              </w:rPr>
              <w:t>26</w:t>
            </w:r>
          </w:p>
        </w:tc>
      </w:tr>
    </w:tbl>
    <w:p w:rsidR="00010AD6" w:rsidRPr="00E022A0" w:rsidRDefault="00010AD6" w:rsidP="00422944">
      <w:pPr>
        <w:spacing w:after="0" w:line="240" w:lineRule="atLeast"/>
        <w:ind w:left="720"/>
        <w:rPr>
          <w:rFonts w:cstheme="minorHAnsi"/>
        </w:rPr>
      </w:pPr>
      <w:r w:rsidRPr="00E022A0">
        <w:rPr>
          <w:rFonts w:cstheme="minorHAnsi"/>
        </w:rPr>
        <w:t>* p &lt; .05.</w:t>
      </w:r>
    </w:p>
    <w:p w:rsidR="00010AD6" w:rsidRPr="00E022A0" w:rsidRDefault="00010AD6" w:rsidP="00422944">
      <w:pPr>
        <w:spacing w:after="0" w:line="240" w:lineRule="atLeast"/>
        <w:ind w:left="720"/>
        <w:rPr>
          <w:rFonts w:cstheme="minorHAnsi"/>
        </w:rPr>
      </w:pPr>
    </w:p>
    <w:p w:rsidR="00010AD6" w:rsidRPr="00E022A0" w:rsidRDefault="00E31607" w:rsidP="00422944">
      <w:pPr>
        <w:spacing w:after="0" w:line="240" w:lineRule="atLeast"/>
        <w:ind w:left="720"/>
        <w:rPr>
          <w:rFonts w:cstheme="minorHAnsi"/>
        </w:rPr>
      </w:pPr>
      <w:r w:rsidRPr="00E022A0">
        <w:rPr>
          <w:rFonts w:cstheme="minorHAnsi"/>
        </w:rPr>
        <w:t>T</w:t>
      </w:r>
      <w:r w:rsidR="00010AD6" w:rsidRPr="00E022A0">
        <w:rPr>
          <w:rFonts w:cstheme="minorHAnsi"/>
        </w:rPr>
        <w:t xml:space="preserve">wo components to the written results, </w:t>
      </w:r>
      <w:r w:rsidR="00010AD6" w:rsidRPr="00E022A0">
        <w:rPr>
          <w:rFonts w:cstheme="minorHAnsi"/>
          <w:u w:val="single"/>
        </w:rPr>
        <w:t>inference</w:t>
      </w:r>
      <w:r w:rsidR="00010AD6" w:rsidRPr="00E022A0">
        <w:rPr>
          <w:rFonts w:cstheme="minorHAnsi"/>
        </w:rPr>
        <w:t xml:space="preserve"> and </w:t>
      </w:r>
      <w:r w:rsidR="00010AD6" w:rsidRPr="00E022A0">
        <w:rPr>
          <w:rFonts w:cstheme="minorHAnsi"/>
          <w:u w:val="single"/>
        </w:rPr>
        <w:t>interpretation</w:t>
      </w:r>
      <w:r w:rsidR="00010AD6" w:rsidRPr="00E022A0">
        <w:rPr>
          <w:rFonts w:cstheme="minorHAnsi"/>
        </w:rPr>
        <w:t xml:space="preserve">. </w:t>
      </w:r>
    </w:p>
    <w:p w:rsidR="00010AD6" w:rsidRPr="00E022A0" w:rsidRDefault="00010AD6" w:rsidP="00422944">
      <w:pPr>
        <w:spacing w:after="0" w:line="240" w:lineRule="atLeast"/>
        <w:ind w:left="720"/>
        <w:rPr>
          <w:rFonts w:cstheme="minorHAnsi"/>
        </w:rPr>
      </w:pPr>
    </w:p>
    <w:p w:rsidR="00010AD6" w:rsidRPr="00E022A0" w:rsidRDefault="00010AD6" w:rsidP="00422944">
      <w:pPr>
        <w:spacing w:after="0" w:line="240" w:lineRule="atLeast"/>
        <w:ind w:left="1440"/>
        <w:rPr>
          <w:rFonts w:cstheme="minorHAnsi"/>
        </w:rPr>
      </w:pPr>
      <w:r w:rsidRPr="00E022A0">
        <w:rPr>
          <w:rFonts w:cstheme="minorHAnsi"/>
        </w:rPr>
        <w:t xml:space="preserve">There is a statistically significant mean difference in heart rate per minute before and after taking blood pressure medication. Results show that the blood pressure medication reduced heart rate by about 5.5 beats per minute. </w:t>
      </w:r>
    </w:p>
    <w:p w:rsidR="00AF45DA" w:rsidRPr="00E022A0" w:rsidRDefault="00AF45DA" w:rsidP="00E022A0">
      <w:pPr>
        <w:spacing w:after="0"/>
        <w:rPr>
          <w:rFonts w:cstheme="minorHAnsi"/>
        </w:rPr>
      </w:pPr>
    </w:p>
    <w:p w:rsidR="00F04F91" w:rsidRPr="00E022A0" w:rsidRDefault="00F04F91" w:rsidP="00E022A0">
      <w:pPr>
        <w:spacing w:after="0"/>
        <w:rPr>
          <w:rFonts w:cstheme="minorHAnsi"/>
          <w:b/>
        </w:rPr>
      </w:pPr>
    </w:p>
    <w:sectPr w:rsidR="00F04F91" w:rsidRPr="00E022A0" w:rsidSect="008A264E">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E6B" w:rsidRDefault="00034E6B" w:rsidP="00E022A0">
      <w:pPr>
        <w:spacing w:after="0" w:line="240" w:lineRule="auto"/>
      </w:pPr>
      <w:r>
        <w:separator/>
      </w:r>
    </w:p>
  </w:endnote>
  <w:endnote w:type="continuationSeparator" w:id="0">
    <w:p w:rsidR="00034E6B" w:rsidRDefault="00034E6B" w:rsidP="00E0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E6B" w:rsidRDefault="00034E6B" w:rsidP="00E022A0">
      <w:pPr>
        <w:spacing w:after="0" w:line="240" w:lineRule="auto"/>
      </w:pPr>
      <w:r>
        <w:separator/>
      </w:r>
    </w:p>
  </w:footnote>
  <w:footnote w:type="continuationSeparator" w:id="0">
    <w:p w:rsidR="00034E6B" w:rsidRDefault="00034E6B" w:rsidP="00E0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974255"/>
      <w:docPartObj>
        <w:docPartGallery w:val="Page Numbers (Top of Page)"/>
        <w:docPartUnique/>
      </w:docPartObj>
    </w:sdtPr>
    <w:sdtEndPr>
      <w:rPr>
        <w:noProof/>
        <w:sz w:val="20"/>
        <w:szCs w:val="20"/>
      </w:rPr>
    </w:sdtEndPr>
    <w:sdtContent>
      <w:p w:rsidR="00E022A0" w:rsidRPr="00E022A0" w:rsidRDefault="00E022A0">
        <w:pPr>
          <w:pStyle w:val="Header"/>
          <w:jc w:val="right"/>
          <w:rPr>
            <w:sz w:val="20"/>
            <w:szCs w:val="20"/>
          </w:rPr>
        </w:pPr>
        <w:r w:rsidRPr="00E022A0">
          <w:rPr>
            <w:sz w:val="20"/>
            <w:szCs w:val="20"/>
          </w:rPr>
          <w:fldChar w:fldCharType="begin"/>
        </w:r>
        <w:r w:rsidRPr="00E022A0">
          <w:rPr>
            <w:sz w:val="20"/>
            <w:szCs w:val="20"/>
          </w:rPr>
          <w:instrText xml:space="preserve"> PAGE   \* MERGEFORMAT </w:instrText>
        </w:r>
        <w:r w:rsidRPr="00E022A0">
          <w:rPr>
            <w:sz w:val="20"/>
            <w:szCs w:val="20"/>
          </w:rPr>
          <w:fldChar w:fldCharType="separate"/>
        </w:r>
        <w:r w:rsidRPr="00E022A0">
          <w:rPr>
            <w:noProof/>
            <w:sz w:val="20"/>
            <w:szCs w:val="20"/>
          </w:rPr>
          <w:t>2</w:t>
        </w:r>
        <w:r w:rsidRPr="00E022A0">
          <w:rPr>
            <w:noProof/>
            <w:sz w:val="20"/>
            <w:szCs w:val="20"/>
          </w:rPr>
          <w:fldChar w:fldCharType="end"/>
        </w:r>
      </w:p>
    </w:sdtContent>
  </w:sdt>
  <w:p w:rsidR="00E022A0" w:rsidRDefault="00E02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84F02"/>
    <w:multiLevelType w:val="hybridMultilevel"/>
    <w:tmpl w:val="79F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12E0E"/>
    <w:multiLevelType w:val="hybridMultilevel"/>
    <w:tmpl w:val="FBE8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EE0646"/>
    <w:multiLevelType w:val="hybridMultilevel"/>
    <w:tmpl w:val="963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D5D46"/>
    <w:multiLevelType w:val="hybridMultilevel"/>
    <w:tmpl w:val="320A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16"/>
    <w:rsid w:val="00001A16"/>
    <w:rsid w:val="000021A8"/>
    <w:rsid w:val="00010AD6"/>
    <w:rsid w:val="0001221A"/>
    <w:rsid w:val="00021972"/>
    <w:rsid w:val="00023BE5"/>
    <w:rsid w:val="00024573"/>
    <w:rsid w:val="00034E6B"/>
    <w:rsid w:val="0004053C"/>
    <w:rsid w:val="00042257"/>
    <w:rsid w:val="00063097"/>
    <w:rsid w:val="0006412E"/>
    <w:rsid w:val="000675C2"/>
    <w:rsid w:val="0007355C"/>
    <w:rsid w:val="000741CF"/>
    <w:rsid w:val="0008645D"/>
    <w:rsid w:val="00095BE8"/>
    <w:rsid w:val="00097630"/>
    <w:rsid w:val="000A2461"/>
    <w:rsid w:val="000A7314"/>
    <w:rsid w:val="000B3AB3"/>
    <w:rsid w:val="000C16F7"/>
    <w:rsid w:val="000C4DA6"/>
    <w:rsid w:val="000D7039"/>
    <w:rsid w:val="000E48CE"/>
    <w:rsid w:val="000F1A08"/>
    <w:rsid w:val="000F231D"/>
    <w:rsid w:val="000F65EF"/>
    <w:rsid w:val="001125D8"/>
    <w:rsid w:val="0011284C"/>
    <w:rsid w:val="00115B2A"/>
    <w:rsid w:val="00115E70"/>
    <w:rsid w:val="00136116"/>
    <w:rsid w:val="001430D8"/>
    <w:rsid w:val="00143276"/>
    <w:rsid w:val="00156DBC"/>
    <w:rsid w:val="00163790"/>
    <w:rsid w:val="00172C0B"/>
    <w:rsid w:val="00177FBC"/>
    <w:rsid w:val="001A5F05"/>
    <w:rsid w:val="001B14F8"/>
    <w:rsid w:val="001B2746"/>
    <w:rsid w:val="001C223C"/>
    <w:rsid w:val="001C2721"/>
    <w:rsid w:val="001C71B3"/>
    <w:rsid w:val="001D06D6"/>
    <w:rsid w:val="001D1FB4"/>
    <w:rsid w:val="001D4515"/>
    <w:rsid w:val="001D7BF7"/>
    <w:rsid w:val="00206900"/>
    <w:rsid w:val="002108DB"/>
    <w:rsid w:val="00225838"/>
    <w:rsid w:val="00225F4D"/>
    <w:rsid w:val="00226E79"/>
    <w:rsid w:val="00227D14"/>
    <w:rsid w:val="00233EE1"/>
    <w:rsid w:val="002376AC"/>
    <w:rsid w:val="0025754E"/>
    <w:rsid w:val="00284451"/>
    <w:rsid w:val="0029567A"/>
    <w:rsid w:val="00295708"/>
    <w:rsid w:val="002A4E07"/>
    <w:rsid w:val="002A63FC"/>
    <w:rsid w:val="002A7B4B"/>
    <w:rsid w:val="002B7473"/>
    <w:rsid w:val="002C3B10"/>
    <w:rsid w:val="002E3F09"/>
    <w:rsid w:val="002E4C07"/>
    <w:rsid w:val="002E4EAD"/>
    <w:rsid w:val="002F1EB0"/>
    <w:rsid w:val="002F2148"/>
    <w:rsid w:val="00314FD7"/>
    <w:rsid w:val="003161B5"/>
    <w:rsid w:val="00325FC4"/>
    <w:rsid w:val="00331575"/>
    <w:rsid w:val="0033395E"/>
    <w:rsid w:val="0033433B"/>
    <w:rsid w:val="003435A3"/>
    <w:rsid w:val="0035203B"/>
    <w:rsid w:val="00352496"/>
    <w:rsid w:val="00367BCF"/>
    <w:rsid w:val="00380B65"/>
    <w:rsid w:val="00383042"/>
    <w:rsid w:val="003844E6"/>
    <w:rsid w:val="00393271"/>
    <w:rsid w:val="003A550F"/>
    <w:rsid w:val="003A69DA"/>
    <w:rsid w:val="003B209E"/>
    <w:rsid w:val="003C1500"/>
    <w:rsid w:val="003C2A47"/>
    <w:rsid w:val="003D0886"/>
    <w:rsid w:val="003D4B00"/>
    <w:rsid w:val="003E0F29"/>
    <w:rsid w:val="003E2A9C"/>
    <w:rsid w:val="003E57F8"/>
    <w:rsid w:val="003F2D14"/>
    <w:rsid w:val="003F4DAE"/>
    <w:rsid w:val="004205C3"/>
    <w:rsid w:val="00422944"/>
    <w:rsid w:val="004412B6"/>
    <w:rsid w:val="00454161"/>
    <w:rsid w:val="004559CE"/>
    <w:rsid w:val="00464F83"/>
    <w:rsid w:val="00466854"/>
    <w:rsid w:val="00467917"/>
    <w:rsid w:val="004716C2"/>
    <w:rsid w:val="00472C6A"/>
    <w:rsid w:val="004743D5"/>
    <w:rsid w:val="0049512B"/>
    <w:rsid w:val="004B1595"/>
    <w:rsid w:val="004B35E2"/>
    <w:rsid w:val="004B62B0"/>
    <w:rsid w:val="004F462E"/>
    <w:rsid w:val="004F74BA"/>
    <w:rsid w:val="00500328"/>
    <w:rsid w:val="00505379"/>
    <w:rsid w:val="0051557B"/>
    <w:rsid w:val="00522338"/>
    <w:rsid w:val="00523116"/>
    <w:rsid w:val="00527BDB"/>
    <w:rsid w:val="0053330D"/>
    <w:rsid w:val="005403AA"/>
    <w:rsid w:val="005413F3"/>
    <w:rsid w:val="00542E51"/>
    <w:rsid w:val="0054454F"/>
    <w:rsid w:val="00544561"/>
    <w:rsid w:val="00553119"/>
    <w:rsid w:val="00565F50"/>
    <w:rsid w:val="00567127"/>
    <w:rsid w:val="00576B6B"/>
    <w:rsid w:val="00577CED"/>
    <w:rsid w:val="00581B3E"/>
    <w:rsid w:val="00582189"/>
    <w:rsid w:val="00582FF7"/>
    <w:rsid w:val="00596732"/>
    <w:rsid w:val="005A1BBE"/>
    <w:rsid w:val="005A3708"/>
    <w:rsid w:val="005A6F4A"/>
    <w:rsid w:val="005B2266"/>
    <w:rsid w:val="005C5806"/>
    <w:rsid w:val="005D3B84"/>
    <w:rsid w:val="005E2A0E"/>
    <w:rsid w:val="005F6E5F"/>
    <w:rsid w:val="006010C3"/>
    <w:rsid w:val="00611373"/>
    <w:rsid w:val="0061547F"/>
    <w:rsid w:val="0063630E"/>
    <w:rsid w:val="00636773"/>
    <w:rsid w:val="00643557"/>
    <w:rsid w:val="00644152"/>
    <w:rsid w:val="00660EA4"/>
    <w:rsid w:val="00662481"/>
    <w:rsid w:val="00680463"/>
    <w:rsid w:val="00681EA8"/>
    <w:rsid w:val="006825A3"/>
    <w:rsid w:val="006866D6"/>
    <w:rsid w:val="00695EB5"/>
    <w:rsid w:val="006B0DEF"/>
    <w:rsid w:val="006B1B3D"/>
    <w:rsid w:val="006B26F5"/>
    <w:rsid w:val="006B677A"/>
    <w:rsid w:val="006C0654"/>
    <w:rsid w:val="006E76E7"/>
    <w:rsid w:val="006F2A0C"/>
    <w:rsid w:val="006F71BA"/>
    <w:rsid w:val="007002D7"/>
    <w:rsid w:val="00705C19"/>
    <w:rsid w:val="00713A2C"/>
    <w:rsid w:val="0072031F"/>
    <w:rsid w:val="00723AD9"/>
    <w:rsid w:val="007337CC"/>
    <w:rsid w:val="0074116A"/>
    <w:rsid w:val="007456EB"/>
    <w:rsid w:val="00767F36"/>
    <w:rsid w:val="00787642"/>
    <w:rsid w:val="00791533"/>
    <w:rsid w:val="007A1DD3"/>
    <w:rsid w:val="007A6DC1"/>
    <w:rsid w:val="007A7A1A"/>
    <w:rsid w:val="007B3F62"/>
    <w:rsid w:val="007B4804"/>
    <w:rsid w:val="007B4852"/>
    <w:rsid w:val="007B4C02"/>
    <w:rsid w:val="007B52BB"/>
    <w:rsid w:val="007B6BC6"/>
    <w:rsid w:val="007C2EEC"/>
    <w:rsid w:val="007C4E2F"/>
    <w:rsid w:val="007E1EDC"/>
    <w:rsid w:val="007E2F7A"/>
    <w:rsid w:val="007E3FFA"/>
    <w:rsid w:val="007F1251"/>
    <w:rsid w:val="007F3836"/>
    <w:rsid w:val="008262BA"/>
    <w:rsid w:val="0083008D"/>
    <w:rsid w:val="008626B1"/>
    <w:rsid w:val="00862CDF"/>
    <w:rsid w:val="00880B3A"/>
    <w:rsid w:val="00882B2C"/>
    <w:rsid w:val="00886217"/>
    <w:rsid w:val="008943DD"/>
    <w:rsid w:val="0089479D"/>
    <w:rsid w:val="00896F14"/>
    <w:rsid w:val="008A264E"/>
    <w:rsid w:val="008A7359"/>
    <w:rsid w:val="008C4DAA"/>
    <w:rsid w:val="008D20D3"/>
    <w:rsid w:val="008E5F1B"/>
    <w:rsid w:val="009028B8"/>
    <w:rsid w:val="009167E4"/>
    <w:rsid w:val="00920406"/>
    <w:rsid w:val="00940D9D"/>
    <w:rsid w:val="00941A38"/>
    <w:rsid w:val="00944FE3"/>
    <w:rsid w:val="00955348"/>
    <w:rsid w:val="009610EB"/>
    <w:rsid w:val="009632DB"/>
    <w:rsid w:val="00973C30"/>
    <w:rsid w:val="00990E98"/>
    <w:rsid w:val="009935E7"/>
    <w:rsid w:val="009A4AD4"/>
    <w:rsid w:val="009B5C80"/>
    <w:rsid w:val="009C19F1"/>
    <w:rsid w:val="009C2068"/>
    <w:rsid w:val="009C79A6"/>
    <w:rsid w:val="009D4487"/>
    <w:rsid w:val="009E7D38"/>
    <w:rsid w:val="009F2A3C"/>
    <w:rsid w:val="00A0009F"/>
    <w:rsid w:val="00A14BEB"/>
    <w:rsid w:val="00A15768"/>
    <w:rsid w:val="00A33DC0"/>
    <w:rsid w:val="00A45BEF"/>
    <w:rsid w:val="00A627A6"/>
    <w:rsid w:val="00A67206"/>
    <w:rsid w:val="00A7073B"/>
    <w:rsid w:val="00A73A60"/>
    <w:rsid w:val="00A75A6A"/>
    <w:rsid w:val="00A843A5"/>
    <w:rsid w:val="00AA3A57"/>
    <w:rsid w:val="00AA646B"/>
    <w:rsid w:val="00AC07F5"/>
    <w:rsid w:val="00AC1D4E"/>
    <w:rsid w:val="00AC2780"/>
    <w:rsid w:val="00AD180C"/>
    <w:rsid w:val="00AD264D"/>
    <w:rsid w:val="00AE233A"/>
    <w:rsid w:val="00AE50EE"/>
    <w:rsid w:val="00AE5BA9"/>
    <w:rsid w:val="00AE6C5A"/>
    <w:rsid w:val="00AF45DA"/>
    <w:rsid w:val="00B20DC2"/>
    <w:rsid w:val="00B33F91"/>
    <w:rsid w:val="00B43317"/>
    <w:rsid w:val="00B44463"/>
    <w:rsid w:val="00B46740"/>
    <w:rsid w:val="00B54BFD"/>
    <w:rsid w:val="00B56BB3"/>
    <w:rsid w:val="00B65E0A"/>
    <w:rsid w:val="00B70044"/>
    <w:rsid w:val="00B80370"/>
    <w:rsid w:val="00BA5BDE"/>
    <w:rsid w:val="00BA7A61"/>
    <w:rsid w:val="00BB42DB"/>
    <w:rsid w:val="00BC0E4D"/>
    <w:rsid w:val="00BC2578"/>
    <w:rsid w:val="00BE086D"/>
    <w:rsid w:val="00BE1C75"/>
    <w:rsid w:val="00BE34F4"/>
    <w:rsid w:val="00BF332A"/>
    <w:rsid w:val="00C15489"/>
    <w:rsid w:val="00C17EA3"/>
    <w:rsid w:val="00C20781"/>
    <w:rsid w:val="00C304EA"/>
    <w:rsid w:val="00C41114"/>
    <w:rsid w:val="00C44C0A"/>
    <w:rsid w:val="00C5402F"/>
    <w:rsid w:val="00C56F9B"/>
    <w:rsid w:val="00C870B3"/>
    <w:rsid w:val="00C93D1F"/>
    <w:rsid w:val="00CA43CF"/>
    <w:rsid w:val="00CD1454"/>
    <w:rsid w:val="00CD3826"/>
    <w:rsid w:val="00CD6C6D"/>
    <w:rsid w:val="00CE3BBB"/>
    <w:rsid w:val="00CF3B9D"/>
    <w:rsid w:val="00CF6F6C"/>
    <w:rsid w:val="00D026B5"/>
    <w:rsid w:val="00D028ED"/>
    <w:rsid w:val="00D10797"/>
    <w:rsid w:val="00D22F07"/>
    <w:rsid w:val="00D32916"/>
    <w:rsid w:val="00D3434D"/>
    <w:rsid w:val="00D42D7F"/>
    <w:rsid w:val="00D54B67"/>
    <w:rsid w:val="00D71E3F"/>
    <w:rsid w:val="00D7556A"/>
    <w:rsid w:val="00D87119"/>
    <w:rsid w:val="00D91264"/>
    <w:rsid w:val="00DC5592"/>
    <w:rsid w:val="00DC5F35"/>
    <w:rsid w:val="00DD6BF8"/>
    <w:rsid w:val="00DE0522"/>
    <w:rsid w:val="00DE3896"/>
    <w:rsid w:val="00DF52F0"/>
    <w:rsid w:val="00E022A0"/>
    <w:rsid w:val="00E023A0"/>
    <w:rsid w:val="00E078E5"/>
    <w:rsid w:val="00E12146"/>
    <w:rsid w:val="00E301DF"/>
    <w:rsid w:val="00E31607"/>
    <w:rsid w:val="00E32BD1"/>
    <w:rsid w:val="00E37B26"/>
    <w:rsid w:val="00E405B7"/>
    <w:rsid w:val="00E4533B"/>
    <w:rsid w:val="00E72123"/>
    <w:rsid w:val="00E853EC"/>
    <w:rsid w:val="00E87BB6"/>
    <w:rsid w:val="00EB519B"/>
    <w:rsid w:val="00EB7CC8"/>
    <w:rsid w:val="00EC3C6E"/>
    <w:rsid w:val="00EC7FE9"/>
    <w:rsid w:val="00ED21D0"/>
    <w:rsid w:val="00ED54D3"/>
    <w:rsid w:val="00EE066C"/>
    <w:rsid w:val="00EE66E9"/>
    <w:rsid w:val="00EF6F16"/>
    <w:rsid w:val="00F04F91"/>
    <w:rsid w:val="00F1538C"/>
    <w:rsid w:val="00F212A3"/>
    <w:rsid w:val="00F24E1E"/>
    <w:rsid w:val="00F33DFC"/>
    <w:rsid w:val="00F46C30"/>
    <w:rsid w:val="00F52B7D"/>
    <w:rsid w:val="00F556D3"/>
    <w:rsid w:val="00F632EC"/>
    <w:rsid w:val="00F72367"/>
    <w:rsid w:val="00F817C6"/>
    <w:rsid w:val="00FA6B4E"/>
    <w:rsid w:val="00FA7516"/>
    <w:rsid w:val="00FB36F9"/>
    <w:rsid w:val="00FC1581"/>
    <w:rsid w:val="00FD3404"/>
    <w:rsid w:val="00FD3A6F"/>
    <w:rsid w:val="00FE14E1"/>
    <w:rsid w:val="00FE7BA2"/>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2C98"/>
  <w15:docId w15:val="{9ED3E916-457A-4ACE-A9F2-15EE136D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2A"/>
    <w:rPr>
      <w:rFonts w:ascii="Tahoma" w:hAnsi="Tahoma" w:cs="Tahoma"/>
      <w:sz w:val="16"/>
      <w:szCs w:val="16"/>
    </w:rPr>
  </w:style>
  <w:style w:type="paragraph" w:customStyle="1" w:styleId="Default">
    <w:name w:val="Default"/>
    <w:rsid w:val="00225F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B6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7CED"/>
  </w:style>
  <w:style w:type="character" w:styleId="Hyperlink">
    <w:name w:val="Hyperlink"/>
    <w:basedOn w:val="DefaultParagraphFont"/>
    <w:uiPriority w:val="99"/>
    <w:unhideWhenUsed/>
    <w:rsid w:val="00577CED"/>
    <w:rPr>
      <w:color w:val="0000FF"/>
      <w:u w:val="single"/>
    </w:rPr>
  </w:style>
  <w:style w:type="paragraph" w:styleId="ListParagraph">
    <w:name w:val="List Paragraph"/>
    <w:basedOn w:val="Normal"/>
    <w:uiPriority w:val="34"/>
    <w:qFormat/>
    <w:rsid w:val="00143276"/>
    <w:pPr>
      <w:ind w:left="720"/>
      <w:contextualSpacing/>
    </w:pPr>
  </w:style>
  <w:style w:type="paragraph" w:styleId="Header">
    <w:name w:val="header"/>
    <w:basedOn w:val="Normal"/>
    <w:link w:val="HeaderChar"/>
    <w:uiPriority w:val="99"/>
    <w:unhideWhenUsed/>
    <w:rsid w:val="00E0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2A0"/>
  </w:style>
  <w:style w:type="paragraph" w:styleId="Footer">
    <w:name w:val="footer"/>
    <w:basedOn w:val="Normal"/>
    <w:link w:val="FooterChar"/>
    <w:uiPriority w:val="99"/>
    <w:unhideWhenUsed/>
    <w:rsid w:val="00E0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A0"/>
  </w:style>
  <w:style w:type="character" w:styleId="UnresolvedMention">
    <w:name w:val="Unresolved Mention"/>
    <w:basedOn w:val="DefaultParagraphFont"/>
    <w:uiPriority w:val="99"/>
    <w:semiHidden/>
    <w:unhideWhenUsed/>
    <w:rsid w:val="00CD14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64951">
      <w:bodyDiv w:val="1"/>
      <w:marLeft w:val="0"/>
      <w:marRight w:val="0"/>
      <w:marTop w:val="0"/>
      <w:marBottom w:val="0"/>
      <w:divBdr>
        <w:top w:val="none" w:sz="0" w:space="0" w:color="auto"/>
        <w:left w:val="none" w:sz="0" w:space="0" w:color="auto"/>
        <w:bottom w:val="none" w:sz="0" w:space="0" w:color="auto"/>
        <w:right w:val="none" w:sz="0" w:space="0" w:color="auto"/>
      </w:divBdr>
    </w:div>
    <w:div w:id="441150363">
      <w:bodyDiv w:val="1"/>
      <w:marLeft w:val="0"/>
      <w:marRight w:val="0"/>
      <w:marTop w:val="0"/>
      <w:marBottom w:val="0"/>
      <w:divBdr>
        <w:top w:val="none" w:sz="0" w:space="0" w:color="auto"/>
        <w:left w:val="none" w:sz="0" w:space="0" w:color="auto"/>
        <w:bottom w:val="none" w:sz="0" w:space="0" w:color="auto"/>
        <w:right w:val="none" w:sz="0" w:space="0" w:color="auto"/>
      </w:divBdr>
    </w:div>
    <w:div w:id="580874015">
      <w:bodyDiv w:val="1"/>
      <w:marLeft w:val="0"/>
      <w:marRight w:val="0"/>
      <w:marTop w:val="0"/>
      <w:marBottom w:val="0"/>
      <w:divBdr>
        <w:top w:val="none" w:sz="0" w:space="0" w:color="auto"/>
        <w:left w:val="none" w:sz="0" w:space="0" w:color="auto"/>
        <w:bottom w:val="none" w:sz="0" w:space="0" w:color="auto"/>
        <w:right w:val="none" w:sz="0" w:space="0" w:color="auto"/>
      </w:divBdr>
    </w:div>
    <w:div w:id="859702686">
      <w:bodyDiv w:val="1"/>
      <w:marLeft w:val="0"/>
      <w:marRight w:val="0"/>
      <w:marTop w:val="0"/>
      <w:marBottom w:val="0"/>
      <w:divBdr>
        <w:top w:val="none" w:sz="0" w:space="0" w:color="auto"/>
        <w:left w:val="none" w:sz="0" w:space="0" w:color="auto"/>
        <w:bottom w:val="none" w:sz="0" w:space="0" w:color="auto"/>
        <w:right w:val="none" w:sz="0" w:space="0" w:color="auto"/>
      </w:divBdr>
    </w:div>
    <w:div w:id="886063912">
      <w:bodyDiv w:val="1"/>
      <w:marLeft w:val="0"/>
      <w:marRight w:val="0"/>
      <w:marTop w:val="0"/>
      <w:marBottom w:val="0"/>
      <w:divBdr>
        <w:top w:val="none" w:sz="0" w:space="0" w:color="auto"/>
        <w:left w:val="none" w:sz="0" w:space="0" w:color="auto"/>
        <w:bottom w:val="none" w:sz="0" w:space="0" w:color="auto"/>
        <w:right w:val="none" w:sz="0" w:space="0" w:color="auto"/>
      </w:divBdr>
    </w:div>
    <w:div w:id="1075861100">
      <w:bodyDiv w:val="1"/>
      <w:marLeft w:val="0"/>
      <w:marRight w:val="0"/>
      <w:marTop w:val="0"/>
      <w:marBottom w:val="0"/>
      <w:divBdr>
        <w:top w:val="none" w:sz="0" w:space="0" w:color="auto"/>
        <w:left w:val="none" w:sz="0" w:space="0" w:color="auto"/>
        <w:bottom w:val="none" w:sz="0" w:space="0" w:color="auto"/>
        <w:right w:val="none" w:sz="0" w:space="0" w:color="auto"/>
      </w:divBdr>
    </w:div>
    <w:div w:id="14542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wgriffin.com/gsu/courses/edur8131/data/heartrate.sa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63F6-A48A-4FF3-B175-919BE5AE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 Griffin</cp:lastModifiedBy>
  <cp:revision>53</cp:revision>
  <dcterms:created xsi:type="dcterms:W3CDTF">2018-01-22T17:40:00Z</dcterms:created>
  <dcterms:modified xsi:type="dcterms:W3CDTF">2018-08-24T21:53:00Z</dcterms:modified>
</cp:coreProperties>
</file>